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A584" w14:textId="77777777" w:rsidR="005606A6" w:rsidRPr="005606A6" w:rsidRDefault="005606A6" w:rsidP="005606A6">
      <w:pPr>
        <w:shd w:val="clear" w:color="auto" w:fill="FFFFFF"/>
        <w:spacing w:after="45" w:line="360" w:lineRule="atLeast"/>
        <w:rPr>
          <w:rFonts w:ascii="Raleway" w:eastAsia="Times New Roman" w:hAnsi="Raleway" w:cs="Times New Roman"/>
          <w:color w:val="454253"/>
          <w:sz w:val="26"/>
          <w:szCs w:val="26"/>
          <w:lang w:eastAsia="it-IT"/>
        </w:rPr>
      </w:pPr>
      <w:r w:rsidRPr="005606A6">
        <w:rPr>
          <w:rFonts w:ascii="Raleway" w:eastAsia="Times New Roman" w:hAnsi="Raleway" w:cs="Times New Roman"/>
          <w:color w:val="454253"/>
          <w:sz w:val="26"/>
          <w:szCs w:val="26"/>
          <w:lang w:eastAsia="it-IT"/>
        </w:rPr>
        <w:t>Martedì 13/12/2022 • 06:00</w:t>
      </w:r>
    </w:p>
    <w:p w14:paraId="67ED9D34" w14:textId="77777777" w:rsidR="005606A6" w:rsidRPr="005606A6" w:rsidRDefault="005606A6" w:rsidP="005606A6">
      <w:pPr>
        <w:shd w:val="clear" w:color="auto" w:fill="FFFFFF"/>
        <w:spacing w:after="150" w:line="240" w:lineRule="auto"/>
        <w:rPr>
          <w:rFonts w:ascii="Raleway" w:eastAsia="Times New Roman" w:hAnsi="Raleway" w:cs="Times New Roman"/>
          <w:b/>
          <w:bCs/>
          <w:caps/>
          <w:color w:val="00943B"/>
          <w:sz w:val="26"/>
          <w:szCs w:val="26"/>
          <w:lang w:eastAsia="it-IT"/>
        </w:rPr>
      </w:pPr>
      <w:r w:rsidRPr="005606A6">
        <w:rPr>
          <w:rFonts w:ascii="Raleway" w:eastAsia="Times New Roman" w:hAnsi="Raleway" w:cs="Times New Roman"/>
          <w:b/>
          <w:bCs/>
          <w:caps/>
          <w:color w:val="FFFFFF"/>
          <w:sz w:val="26"/>
          <w:szCs w:val="26"/>
          <w:shd w:val="clear" w:color="auto" w:fill="00943B"/>
          <w:lang w:eastAsia="it-IT"/>
        </w:rPr>
        <w:t>FISCO </w:t>
      </w:r>
      <w:r w:rsidRPr="005606A6">
        <w:rPr>
          <w:rFonts w:ascii="Raleway" w:eastAsia="Times New Roman" w:hAnsi="Raleway" w:cs="Times New Roman"/>
          <w:b/>
          <w:bCs/>
          <w:caps/>
          <w:color w:val="00943B"/>
          <w:sz w:val="26"/>
          <w:szCs w:val="26"/>
          <w:lang w:eastAsia="it-IT"/>
        </w:rPr>
        <w:t>DDL DI BILANCIO 2023</w:t>
      </w:r>
    </w:p>
    <w:p w14:paraId="21B4D572" w14:textId="77777777" w:rsidR="005606A6" w:rsidRPr="005606A6" w:rsidRDefault="005606A6" w:rsidP="005606A6">
      <w:pPr>
        <w:shd w:val="clear" w:color="auto" w:fill="FFFFFF"/>
        <w:spacing w:after="45" w:line="240" w:lineRule="auto"/>
        <w:outlineLvl w:val="1"/>
        <w:rPr>
          <w:rFonts w:ascii="Raleway" w:eastAsia="Times New Roman" w:hAnsi="Raleway" w:cs="Times New Roman"/>
          <w:b/>
          <w:bCs/>
          <w:color w:val="454253"/>
          <w:sz w:val="47"/>
          <w:szCs w:val="47"/>
          <w:lang w:eastAsia="it-IT"/>
        </w:rPr>
      </w:pPr>
      <w:r w:rsidRPr="005606A6">
        <w:rPr>
          <w:rFonts w:ascii="Raleway" w:eastAsia="Times New Roman" w:hAnsi="Raleway" w:cs="Times New Roman"/>
          <w:b/>
          <w:bCs/>
          <w:color w:val="454253"/>
          <w:sz w:val="47"/>
          <w:szCs w:val="47"/>
          <w:lang w:eastAsia="it-IT"/>
        </w:rPr>
        <w:t xml:space="preserve">Bonus carburante per le attività agricole esteso al </w:t>
      </w:r>
      <w:proofErr w:type="gramStart"/>
      <w:r w:rsidRPr="005606A6">
        <w:rPr>
          <w:rFonts w:ascii="Raleway" w:eastAsia="Times New Roman" w:hAnsi="Raleway" w:cs="Times New Roman"/>
          <w:b/>
          <w:bCs/>
          <w:color w:val="454253"/>
          <w:sz w:val="47"/>
          <w:szCs w:val="47"/>
          <w:lang w:eastAsia="it-IT"/>
        </w:rPr>
        <w:t>1°</w:t>
      </w:r>
      <w:proofErr w:type="gramEnd"/>
      <w:r w:rsidRPr="005606A6">
        <w:rPr>
          <w:rFonts w:ascii="Raleway" w:eastAsia="Times New Roman" w:hAnsi="Raleway" w:cs="Times New Roman"/>
          <w:b/>
          <w:bCs/>
          <w:color w:val="454253"/>
          <w:sz w:val="47"/>
          <w:szCs w:val="47"/>
          <w:lang w:eastAsia="it-IT"/>
        </w:rPr>
        <w:t xml:space="preserve"> trimestre 2023</w:t>
      </w:r>
    </w:p>
    <w:p w14:paraId="316D2C10" w14:textId="77777777" w:rsidR="005606A6" w:rsidRPr="005606A6" w:rsidRDefault="005606A6" w:rsidP="005606A6">
      <w:pPr>
        <w:shd w:val="clear" w:color="auto" w:fill="FFFFFF"/>
        <w:spacing w:after="45" w:line="360" w:lineRule="atLeast"/>
        <w:rPr>
          <w:rFonts w:ascii="Raleway" w:eastAsia="Times New Roman" w:hAnsi="Raleway" w:cs="Times New Roman"/>
          <w:color w:val="454253"/>
          <w:sz w:val="26"/>
          <w:szCs w:val="26"/>
          <w:lang w:eastAsia="it-IT"/>
        </w:rPr>
      </w:pPr>
      <w:r w:rsidRPr="005606A6">
        <w:rPr>
          <w:rFonts w:ascii="Raleway" w:eastAsia="Times New Roman" w:hAnsi="Raleway" w:cs="Times New Roman"/>
          <w:color w:val="454253"/>
          <w:sz w:val="26"/>
          <w:szCs w:val="26"/>
          <w:lang w:eastAsia="it-IT"/>
        </w:rPr>
        <w:t>Il disegno di </w:t>
      </w:r>
      <w:r w:rsidRPr="005606A6">
        <w:rPr>
          <w:rFonts w:ascii="Raleway" w:eastAsia="Times New Roman" w:hAnsi="Raleway" w:cs="Times New Roman"/>
          <w:b/>
          <w:bCs/>
          <w:color w:val="454253"/>
          <w:sz w:val="26"/>
          <w:szCs w:val="26"/>
          <w:lang w:eastAsia="it-IT"/>
        </w:rPr>
        <w:t>legge di Bilancio 2023</w:t>
      </w:r>
      <w:r w:rsidRPr="005606A6">
        <w:rPr>
          <w:rFonts w:ascii="Raleway" w:eastAsia="Times New Roman" w:hAnsi="Raleway" w:cs="Times New Roman"/>
          <w:color w:val="454253"/>
          <w:sz w:val="26"/>
          <w:szCs w:val="26"/>
          <w:lang w:eastAsia="it-IT"/>
        </w:rPr>
        <w:t> prevede l'applicazione del </w:t>
      </w:r>
      <w:r w:rsidRPr="005606A6">
        <w:rPr>
          <w:rFonts w:ascii="Raleway" w:eastAsia="Times New Roman" w:hAnsi="Raleway" w:cs="Times New Roman"/>
          <w:b/>
          <w:bCs/>
          <w:color w:val="454253"/>
          <w:sz w:val="26"/>
          <w:szCs w:val="26"/>
          <w:lang w:eastAsia="it-IT"/>
        </w:rPr>
        <w:t>credito di imposta</w:t>
      </w:r>
      <w:r w:rsidRPr="005606A6">
        <w:rPr>
          <w:rFonts w:ascii="Raleway" w:eastAsia="Times New Roman" w:hAnsi="Raleway" w:cs="Times New Roman"/>
          <w:color w:val="454253"/>
          <w:sz w:val="26"/>
          <w:szCs w:val="26"/>
          <w:lang w:eastAsia="it-IT"/>
        </w:rPr>
        <w:t> per le attività agricole anche per il </w:t>
      </w:r>
      <w:r w:rsidRPr="005606A6">
        <w:rPr>
          <w:rFonts w:ascii="Raleway" w:eastAsia="Times New Roman" w:hAnsi="Raleway" w:cs="Times New Roman"/>
          <w:b/>
          <w:bCs/>
          <w:color w:val="454253"/>
          <w:sz w:val="26"/>
          <w:szCs w:val="26"/>
          <w:lang w:eastAsia="it-IT"/>
        </w:rPr>
        <w:t>primo trimestre 2023</w:t>
      </w:r>
      <w:r w:rsidRPr="005606A6">
        <w:rPr>
          <w:rFonts w:ascii="Raleway" w:eastAsia="Times New Roman" w:hAnsi="Raleway" w:cs="Times New Roman"/>
          <w:color w:val="454253"/>
          <w:sz w:val="26"/>
          <w:szCs w:val="26"/>
          <w:lang w:eastAsia="it-IT"/>
        </w:rPr>
        <w:t>. Le regole sono quelle già previste per il quarto trimestre 2022; confermata la </w:t>
      </w:r>
      <w:r w:rsidRPr="005606A6">
        <w:rPr>
          <w:rFonts w:ascii="Raleway" w:eastAsia="Times New Roman" w:hAnsi="Raleway" w:cs="Times New Roman"/>
          <w:b/>
          <w:bCs/>
          <w:color w:val="454253"/>
          <w:sz w:val="26"/>
          <w:szCs w:val="26"/>
          <w:lang w:eastAsia="it-IT"/>
        </w:rPr>
        <w:t>possibilità di utilizzarlo in compensazione oppure di cederlo</w:t>
      </w:r>
      <w:r w:rsidRPr="005606A6">
        <w:rPr>
          <w:rFonts w:ascii="Raleway" w:eastAsia="Times New Roman" w:hAnsi="Raleway" w:cs="Times New Roman"/>
          <w:color w:val="454253"/>
          <w:sz w:val="26"/>
          <w:szCs w:val="26"/>
          <w:lang w:eastAsia="it-IT"/>
        </w:rPr>
        <w:t> a terzi.</w:t>
      </w:r>
    </w:p>
    <w:p w14:paraId="56499E4A" w14:textId="77777777" w:rsidR="005606A6" w:rsidRPr="005606A6" w:rsidRDefault="005606A6" w:rsidP="005606A6">
      <w:pPr>
        <w:shd w:val="clear" w:color="auto" w:fill="FFFFFF"/>
        <w:spacing w:after="300" w:line="240" w:lineRule="auto"/>
        <w:rPr>
          <w:rFonts w:ascii="Raleway" w:eastAsia="Times New Roman" w:hAnsi="Raleway" w:cs="Times New Roman"/>
          <w:color w:val="454253"/>
          <w:sz w:val="26"/>
          <w:szCs w:val="26"/>
          <w:lang w:eastAsia="it-IT"/>
        </w:rPr>
      </w:pPr>
      <w:r w:rsidRPr="005606A6">
        <w:rPr>
          <w:rFonts w:ascii="Raleway" w:eastAsia="Times New Roman" w:hAnsi="Raleway" w:cs="Times New Roman"/>
          <w:color w:val="454253"/>
          <w:sz w:val="26"/>
          <w:szCs w:val="26"/>
          <w:lang w:eastAsia="it-IT"/>
        </w:rPr>
        <w:t>L'articolo 11 del disegno di Legge di Bilancio prevede per il primo trimestre 2023 il riconoscimento di un </w:t>
      </w:r>
      <w:r w:rsidRPr="005606A6">
        <w:rPr>
          <w:rFonts w:ascii="Raleway" w:eastAsia="Times New Roman" w:hAnsi="Raleway" w:cs="Times New Roman"/>
          <w:b/>
          <w:bCs/>
          <w:color w:val="454253"/>
          <w:sz w:val="26"/>
          <w:szCs w:val="26"/>
          <w:lang w:eastAsia="it-IT"/>
        </w:rPr>
        <w:t>credito di imposta</w:t>
      </w:r>
      <w:r w:rsidRPr="005606A6">
        <w:rPr>
          <w:rFonts w:ascii="Raleway" w:eastAsia="Times New Roman" w:hAnsi="Raleway" w:cs="Times New Roman"/>
          <w:color w:val="454253"/>
          <w:sz w:val="26"/>
          <w:szCs w:val="26"/>
          <w:lang w:eastAsia="it-IT"/>
        </w:rPr>
        <w:t> per gli acquisti di gasolio e benzina effettuati dalle </w:t>
      </w:r>
      <w:r w:rsidRPr="005606A6">
        <w:rPr>
          <w:rFonts w:ascii="Raleway" w:eastAsia="Times New Roman" w:hAnsi="Raleway" w:cs="Times New Roman"/>
          <w:b/>
          <w:bCs/>
          <w:color w:val="454253"/>
          <w:sz w:val="26"/>
          <w:szCs w:val="26"/>
          <w:lang w:eastAsia="it-IT"/>
        </w:rPr>
        <w:t>imprese agricole</w:t>
      </w:r>
      <w:r w:rsidRPr="005606A6">
        <w:rPr>
          <w:rFonts w:ascii="Raleway" w:eastAsia="Times New Roman" w:hAnsi="Raleway" w:cs="Times New Roman"/>
          <w:color w:val="454253"/>
          <w:sz w:val="26"/>
          <w:szCs w:val="26"/>
          <w:lang w:eastAsia="it-IT"/>
        </w:rPr>
        <w:t> e dalle </w:t>
      </w:r>
      <w:r w:rsidRPr="005606A6">
        <w:rPr>
          <w:rFonts w:ascii="Raleway" w:eastAsia="Times New Roman" w:hAnsi="Raleway" w:cs="Times New Roman"/>
          <w:b/>
          <w:bCs/>
          <w:color w:val="454253"/>
          <w:sz w:val="26"/>
          <w:szCs w:val="26"/>
          <w:lang w:eastAsia="it-IT"/>
        </w:rPr>
        <w:t xml:space="preserve">imprese </w:t>
      </w:r>
      <w:proofErr w:type="spellStart"/>
      <w:r w:rsidRPr="005606A6">
        <w:rPr>
          <w:rFonts w:ascii="Raleway" w:eastAsia="Times New Roman" w:hAnsi="Raleway" w:cs="Times New Roman"/>
          <w:b/>
          <w:bCs/>
          <w:color w:val="454253"/>
          <w:sz w:val="26"/>
          <w:szCs w:val="26"/>
          <w:lang w:eastAsia="it-IT"/>
        </w:rPr>
        <w:t>agromeccaniche</w:t>
      </w:r>
      <w:proofErr w:type="spellEnd"/>
      <w:r w:rsidRPr="005606A6">
        <w:rPr>
          <w:rFonts w:ascii="Raleway" w:eastAsia="Times New Roman" w:hAnsi="Raleway" w:cs="Times New Roman"/>
          <w:color w:val="454253"/>
          <w:sz w:val="26"/>
          <w:szCs w:val="26"/>
          <w:lang w:eastAsia="it-IT"/>
        </w:rPr>
        <w:t>. Il contributo è riconosciuto con lo scopo di </w:t>
      </w:r>
      <w:r w:rsidRPr="005606A6">
        <w:rPr>
          <w:rFonts w:ascii="Raleway" w:eastAsia="Times New Roman" w:hAnsi="Raleway" w:cs="Times New Roman"/>
          <w:b/>
          <w:bCs/>
          <w:color w:val="454253"/>
          <w:sz w:val="26"/>
          <w:szCs w:val="26"/>
          <w:lang w:eastAsia="it-IT"/>
        </w:rPr>
        <w:t>mitigare gli effetti economici</w:t>
      </w:r>
      <w:r w:rsidRPr="005606A6">
        <w:rPr>
          <w:rFonts w:ascii="Raleway" w:eastAsia="Times New Roman" w:hAnsi="Raleway" w:cs="Times New Roman"/>
          <w:color w:val="454253"/>
          <w:sz w:val="26"/>
          <w:szCs w:val="26"/>
          <w:lang w:eastAsia="it-IT"/>
        </w:rPr>
        <w:t> derivanti dall'aumento eccezionale dei prezzi del gasolio e della benzina. Si tratta di una agevolazione non nuova ma già riconosciuta nel 2022, sebbene con regole diverse nei vari trimestri, come riepilogato nella tabella sottostante: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3"/>
        <w:gridCol w:w="1949"/>
        <w:gridCol w:w="2692"/>
        <w:gridCol w:w="3408"/>
      </w:tblGrid>
      <w:tr w:rsidR="005606A6" w:rsidRPr="005606A6" w14:paraId="727D1617" w14:textId="77777777" w:rsidTr="005606A6">
        <w:trPr>
          <w:trHeight w:val="300"/>
          <w:tblHeader/>
        </w:trPr>
        <w:tc>
          <w:tcPr>
            <w:tcW w:w="2459" w:type="dxa"/>
            <w:tcBorders>
              <w:top w:val="outset" w:sz="6" w:space="0" w:color="auto"/>
              <w:left w:val="outset" w:sz="6" w:space="0" w:color="auto"/>
              <w:bottom w:val="outset" w:sz="6" w:space="0" w:color="auto"/>
              <w:right w:val="outset" w:sz="6" w:space="0" w:color="auto"/>
            </w:tcBorders>
            <w:shd w:val="clear" w:color="auto" w:fill="DBDBDB"/>
            <w:vAlign w:val="center"/>
            <w:hideMark/>
          </w:tcPr>
          <w:p w14:paraId="614A6674" w14:textId="77777777" w:rsidR="005606A6" w:rsidRPr="005606A6" w:rsidRDefault="005606A6" w:rsidP="005606A6">
            <w:pPr>
              <w:spacing w:after="300" w:line="240" w:lineRule="auto"/>
              <w:jc w:val="center"/>
              <w:rPr>
                <w:rFonts w:ascii="Times New Roman" w:eastAsia="Times New Roman" w:hAnsi="Times New Roman" w:cs="Times New Roman"/>
                <w:b/>
                <w:bCs/>
                <w:color w:val="454253"/>
                <w:sz w:val="26"/>
                <w:szCs w:val="26"/>
                <w:lang w:eastAsia="it-IT"/>
              </w:rPr>
            </w:pPr>
            <w:r w:rsidRPr="005606A6">
              <w:rPr>
                <w:rFonts w:ascii="Times New Roman" w:eastAsia="Times New Roman" w:hAnsi="Times New Roman" w:cs="Times New Roman"/>
                <w:b/>
                <w:bCs/>
                <w:color w:val="454253"/>
                <w:sz w:val="26"/>
                <w:szCs w:val="26"/>
                <w:lang w:eastAsia="it-IT"/>
              </w:rPr>
              <w:t>Periodo</w:t>
            </w:r>
          </w:p>
        </w:tc>
        <w:tc>
          <w:tcPr>
            <w:tcW w:w="2703" w:type="dxa"/>
            <w:tcBorders>
              <w:top w:val="outset" w:sz="6" w:space="0" w:color="auto"/>
              <w:left w:val="outset" w:sz="6" w:space="0" w:color="auto"/>
              <w:bottom w:val="outset" w:sz="6" w:space="0" w:color="auto"/>
              <w:right w:val="outset" w:sz="6" w:space="0" w:color="auto"/>
            </w:tcBorders>
            <w:shd w:val="clear" w:color="auto" w:fill="DBDBDB"/>
            <w:vAlign w:val="center"/>
            <w:hideMark/>
          </w:tcPr>
          <w:p w14:paraId="7E496DB8" w14:textId="77777777" w:rsidR="005606A6" w:rsidRPr="005606A6" w:rsidRDefault="005606A6" w:rsidP="005606A6">
            <w:pPr>
              <w:spacing w:after="300" w:line="240" w:lineRule="auto"/>
              <w:jc w:val="center"/>
              <w:rPr>
                <w:rFonts w:ascii="Times New Roman" w:eastAsia="Times New Roman" w:hAnsi="Times New Roman" w:cs="Times New Roman"/>
                <w:b/>
                <w:bCs/>
                <w:color w:val="454253"/>
                <w:sz w:val="26"/>
                <w:szCs w:val="26"/>
                <w:lang w:eastAsia="it-IT"/>
              </w:rPr>
            </w:pPr>
            <w:r w:rsidRPr="005606A6">
              <w:rPr>
                <w:rFonts w:ascii="Times New Roman" w:eastAsia="Times New Roman" w:hAnsi="Times New Roman" w:cs="Times New Roman"/>
                <w:b/>
                <w:bCs/>
                <w:color w:val="454253"/>
                <w:sz w:val="26"/>
                <w:szCs w:val="26"/>
                <w:lang w:eastAsia="it-IT"/>
              </w:rPr>
              <w:t>Normativa</w:t>
            </w:r>
          </w:p>
        </w:tc>
        <w:tc>
          <w:tcPr>
            <w:tcW w:w="4276" w:type="dxa"/>
            <w:tcBorders>
              <w:top w:val="outset" w:sz="6" w:space="0" w:color="auto"/>
              <w:left w:val="outset" w:sz="6" w:space="0" w:color="auto"/>
              <w:bottom w:val="outset" w:sz="6" w:space="0" w:color="auto"/>
              <w:right w:val="outset" w:sz="6" w:space="0" w:color="auto"/>
            </w:tcBorders>
            <w:shd w:val="clear" w:color="auto" w:fill="DBDBDB"/>
            <w:vAlign w:val="center"/>
            <w:hideMark/>
          </w:tcPr>
          <w:p w14:paraId="6203162A" w14:textId="77777777" w:rsidR="005606A6" w:rsidRPr="005606A6" w:rsidRDefault="005606A6" w:rsidP="005606A6">
            <w:pPr>
              <w:spacing w:after="300" w:line="240" w:lineRule="auto"/>
              <w:jc w:val="center"/>
              <w:rPr>
                <w:rFonts w:ascii="Times New Roman" w:eastAsia="Times New Roman" w:hAnsi="Times New Roman" w:cs="Times New Roman"/>
                <w:b/>
                <w:bCs/>
                <w:color w:val="454253"/>
                <w:sz w:val="26"/>
                <w:szCs w:val="26"/>
                <w:lang w:eastAsia="it-IT"/>
              </w:rPr>
            </w:pPr>
            <w:r w:rsidRPr="005606A6">
              <w:rPr>
                <w:rFonts w:ascii="Times New Roman" w:eastAsia="Times New Roman" w:hAnsi="Times New Roman" w:cs="Times New Roman"/>
                <w:b/>
                <w:bCs/>
                <w:color w:val="454253"/>
                <w:sz w:val="26"/>
                <w:szCs w:val="26"/>
                <w:lang w:eastAsia="it-IT"/>
              </w:rPr>
              <w:t>Ambito soggettivo</w:t>
            </w:r>
          </w:p>
        </w:tc>
        <w:tc>
          <w:tcPr>
            <w:tcW w:w="5834" w:type="dxa"/>
            <w:tcBorders>
              <w:top w:val="outset" w:sz="6" w:space="0" w:color="auto"/>
              <w:left w:val="outset" w:sz="6" w:space="0" w:color="auto"/>
              <w:bottom w:val="outset" w:sz="6" w:space="0" w:color="auto"/>
              <w:right w:val="outset" w:sz="6" w:space="0" w:color="auto"/>
            </w:tcBorders>
            <w:shd w:val="clear" w:color="auto" w:fill="DBDBDB"/>
            <w:vAlign w:val="center"/>
            <w:hideMark/>
          </w:tcPr>
          <w:p w14:paraId="2B763FDF" w14:textId="77777777" w:rsidR="005606A6" w:rsidRPr="005606A6" w:rsidRDefault="005606A6" w:rsidP="005606A6">
            <w:pPr>
              <w:spacing w:after="300" w:line="240" w:lineRule="auto"/>
              <w:jc w:val="center"/>
              <w:rPr>
                <w:rFonts w:ascii="Times New Roman" w:eastAsia="Times New Roman" w:hAnsi="Times New Roman" w:cs="Times New Roman"/>
                <w:b/>
                <w:bCs/>
                <w:color w:val="454253"/>
                <w:sz w:val="26"/>
                <w:szCs w:val="26"/>
                <w:lang w:eastAsia="it-IT"/>
              </w:rPr>
            </w:pPr>
            <w:r w:rsidRPr="005606A6">
              <w:rPr>
                <w:rFonts w:ascii="Times New Roman" w:eastAsia="Times New Roman" w:hAnsi="Times New Roman" w:cs="Times New Roman"/>
                <w:b/>
                <w:bCs/>
                <w:color w:val="454253"/>
                <w:sz w:val="26"/>
                <w:szCs w:val="26"/>
                <w:lang w:eastAsia="it-IT"/>
              </w:rPr>
              <w:t>Ambito oggettivo</w:t>
            </w:r>
          </w:p>
        </w:tc>
      </w:tr>
      <w:tr w:rsidR="005606A6" w:rsidRPr="005606A6" w14:paraId="314A5134" w14:textId="77777777" w:rsidTr="005606A6">
        <w:trPr>
          <w:trHeight w:val="840"/>
        </w:trPr>
        <w:tc>
          <w:tcPr>
            <w:tcW w:w="2459" w:type="dxa"/>
            <w:tcBorders>
              <w:top w:val="outset" w:sz="6" w:space="0" w:color="auto"/>
              <w:left w:val="outset" w:sz="6" w:space="0" w:color="auto"/>
              <w:bottom w:val="outset" w:sz="6" w:space="0" w:color="auto"/>
              <w:right w:val="outset" w:sz="6" w:space="0" w:color="auto"/>
            </w:tcBorders>
            <w:vAlign w:val="center"/>
            <w:hideMark/>
          </w:tcPr>
          <w:p w14:paraId="43C56684"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proofErr w:type="gramStart"/>
            <w:r w:rsidRPr="005606A6">
              <w:rPr>
                <w:rFonts w:ascii="Times New Roman" w:eastAsia="Times New Roman" w:hAnsi="Times New Roman" w:cs="Times New Roman"/>
                <w:color w:val="454253"/>
                <w:sz w:val="26"/>
                <w:szCs w:val="26"/>
                <w:lang w:eastAsia="it-IT"/>
              </w:rPr>
              <w:t>1°</w:t>
            </w:r>
            <w:proofErr w:type="gramEnd"/>
            <w:r w:rsidRPr="005606A6">
              <w:rPr>
                <w:rFonts w:ascii="Times New Roman" w:eastAsia="Times New Roman" w:hAnsi="Times New Roman" w:cs="Times New Roman"/>
                <w:color w:val="454253"/>
                <w:sz w:val="26"/>
                <w:szCs w:val="26"/>
                <w:lang w:eastAsia="it-IT"/>
              </w:rPr>
              <w:t xml:space="preserve"> trimestre 2022</w:t>
            </w:r>
          </w:p>
        </w:tc>
        <w:tc>
          <w:tcPr>
            <w:tcW w:w="2703" w:type="dxa"/>
            <w:tcBorders>
              <w:top w:val="outset" w:sz="6" w:space="0" w:color="auto"/>
              <w:left w:val="outset" w:sz="6" w:space="0" w:color="auto"/>
              <w:bottom w:val="outset" w:sz="6" w:space="0" w:color="auto"/>
              <w:right w:val="outset" w:sz="6" w:space="0" w:color="auto"/>
            </w:tcBorders>
            <w:vAlign w:val="center"/>
            <w:hideMark/>
          </w:tcPr>
          <w:p w14:paraId="06FAC108"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hyperlink r:id="rId5" w:history="1">
              <w:r w:rsidRPr="005606A6">
                <w:rPr>
                  <w:rFonts w:ascii="Times New Roman" w:eastAsia="Times New Roman" w:hAnsi="Times New Roman" w:cs="Times New Roman"/>
                  <w:color w:val="007BFF"/>
                  <w:sz w:val="26"/>
                  <w:szCs w:val="26"/>
                  <w:u w:val="single"/>
                  <w:lang w:eastAsia="it-IT"/>
                </w:rPr>
                <w:t>Art. 18, DL 21/2022</w:t>
              </w:r>
            </w:hyperlink>
          </w:p>
        </w:tc>
        <w:tc>
          <w:tcPr>
            <w:tcW w:w="4276" w:type="dxa"/>
            <w:tcBorders>
              <w:top w:val="outset" w:sz="6" w:space="0" w:color="auto"/>
              <w:left w:val="outset" w:sz="6" w:space="0" w:color="auto"/>
              <w:bottom w:val="outset" w:sz="6" w:space="0" w:color="auto"/>
              <w:right w:val="outset" w:sz="6" w:space="0" w:color="auto"/>
            </w:tcBorders>
            <w:vAlign w:val="center"/>
            <w:hideMark/>
          </w:tcPr>
          <w:p w14:paraId="5CCBF2AC"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r w:rsidRPr="005606A6">
              <w:rPr>
                <w:rFonts w:ascii="Times New Roman" w:eastAsia="Times New Roman" w:hAnsi="Times New Roman" w:cs="Times New Roman"/>
                <w:color w:val="454253"/>
                <w:sz w:val="26"/>
                <w:szCs w:val="26"/>
                <w:lang w:eastAsia="it-IT"/>
              </w:rPr>
              <w:t>Imprese esercenti attività agricola e della pesca</w:t>
            </w:r>
          </w:p>
        </w:tc>
        <w:tc>
          <w:tcPr>
            <w:tcW w:w="5834" w:type="dxa"/>
            <w:vMerge w:val="restart"/>
            <w:tcBorders>
              <w:top w:val="outset" w:sz="6" w:space="0" w:color="auto"/>
              <w:left w:val="outset" w:sz="6" w:space="0" w:color="auto"/>
              <w:bottom w:val="outset" w:sz="6" w:space="0" w:color="auto"/>
              <w:right w:val="outset" w:sz="6" w:space="0" w:color="auto"/>
            </w:tcBorders>
            <w:vAlign w:val="center"/>
            <w:hideMark/>
          </w:tcPr>
          <w:p w14:paraId="1729951E"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r w:rsidRPr="005606A6">
              <w:rPr>
                <w:rFonts w:ascii="Times New Roman" w:eastAsia="Times New Roman" w:hAnsi="Times New Roman" w:cs="Times New Roman"/>
                <w:color w:val="454253"/>
                <w:sz w:val="26"/>
                <w:szCs w:val="26"/>
                <w:lang w:eastAsia="it-IT"/>
              </w:rPr>
              <w:t>Acquisto di gasolio e benzina per la trazione dei mezzi utilizzati per l'esercizio dell'attività agricola e della pesca</w:t>
            </w:r>
          </w:p>
        </w:tc>
      </w:tr>
      <w:tr w:rsidR="005606A6" w:rsidRPr="005606A6" w14:paraId="6C12F076" w14:textId="77777777" w:rsidTr="005606A6">
        <w:trPr>
          <w:trHeight w:val="540"/>
        </w:trPr>
        <w:tc>
          <w:tcPr>
            <w:tcW w:w="2459" w:type="dxa"/>
            <w:tcBorders>
              <w:top w:val="outset" w:sz="6" w:space="0" w:color="auto"/>
              <w:left w:val="outset" w:sz="6" w:space="0" w:color="auto"/>
              <w:bottom w:val="outset" w:sz="6" w:space="0" w:color="auto"/>
              <w:right w:val="outset" w:sz="6" w:space="0" w:color="auto"/>
            </w:tcBorders>
            <w:vAlign w:val="center"/>
            <w:hideMark/>
          </w:tcPr>
          <w:p w14:paraId="0B19FF4D"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proofErr w:type="gramStart"/>
            <w:r w:rsidRPr="005606A6">
              <w:rPr>
                <w:rFonts w:ascii="Times New Roman" w:eastAsia="Times New Roman" w:hAnsi="Times New Roman" w:cs="Times New Roman"/>
                <w:color w:val="454253"/>
                <w:sz w:val="26"/>
                <w:szCs w:val="26"/>
                <w:lang w:eastAsia="it-IT"/>
              </w:rPr>
              <w:t>2°</w:t>
            </w:r>
            <w:proofErr w:type="gramEnd"/>
            <w:r w:rsidRPr="005606A6">
              <w:rPr>
                <w:rFonts w:ascii="Times New Roman" w:eastAsia="Times New Roman" w:hAnsi="Times New Roman" w:cs="Times New Roman"/>
                <w:color w:val="454253"/>
                <w:sz w:val="26"/>
                <w:szCs w:val="26"/>
                <w:lang w:eastAsia="it-IT"/>
              </w:rPr>
              <w:t xml:space="preserve"> trimestre 2022</w:t>
            </w:r>
          </w:p>
        </w:tc>
        <w:tc>
          <w:tcPr>
            <w:tcW w:w="2703" w:type="dxa"/>
            <w:tcBorders>
              <w:top w:val="outset" w:sz="6" w:space="0" w:color="auto"/>
              <w:left w:val="outset" w:sz="6" w:space="0" w:color="auto"/>
              <w:bottom w:val="outset" w:sz="6" w:space="0" w:color="auto"/>
              <w:right w:val="outset" w:sz="6" w:space="0" w:color="auto"/>
            </w:tcBorders>
            <w:vAlign w:val="center"/>
            <w:hideMark/>
          </w:tcPr>
          <w:p w14:paraId="7F63E46B"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hyperlink r:id="rId6" w:history="1">
              <w:r w:rsidRPr="005606A6">
                <w:rPr>
                  <w:rFonts w:ascii="Times New Roman" w:eastAsia="Times New Roman" w:hAnsi="Times New Roman" w:cs="Times New Roman"/>
                  <w:color w:val="007BFF"/>
                  <w:sz w:val="26"/>
                  <w:szCs w:val="26"/>
                  <w:u w:val="single"/>
                  <w:lang w:eastAsia="it-IT"/>
                </w:rPr>
                <w:t>Art. 3-bis, DL 50/2022</w:t>
              </w:r>
            </w:hyperlink>
          </w:p>
        </w:tc>
        <w:tc>
          <w:tcPr>
            <w:tcW w:w="4276" w:type="dxa"/>
            <w:tcBorders>
              <w:top w:val="outset" w:sz="6" w:space="0" w:color="auto"/>
              <w:left w:val="outset" w:sz="6" w:space="0" w:color="auto"/>
              <w:bottom w:val="outset" w:sz="6" w:space="0" w:color="auto"/>
              <w:right w:val="outset" w:sz="6" w:space="0" w:color="auto"/>
            </w:tcBorders>
            <w:vAlign w:val="center"/>
            <w:hideMark/>
          </w:tcPr>
          <w:p w14:paraId="363EC699"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r w:rsidRPr="005606A6">
              <w:rPr>
                <w:rFonts w:ascii="Times New Roman" w:eastAsia="Times New Roman" w:hAnsi="Times New Roman" w:cs="Times New Roman"/>
                <w:color w:val="454253"/>
                <w:sz w:val="26"/>
                <w:szCs w:val="26"/>
                <w:lang w:eastAsia="it-IT"/>
              </w:rPr>
              <w:t>Imprese esercenti attività della pesca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559A73" w14:textId="77777777" w:rsidR="005606A6" w:rsidRPr="005606A6" w:rsidRDefault="005606A6" w:rsidP="005606A6">
            <w:pPr>
              <w:spacing w:after="0" w:line="240" w:lineRule="auto"/>
              <w:rPr>
                <w:rFonts w:ascii="Times New Roman" w:eastAsia="Times New Roman" w:hAnsi="Times New Roman" w:cs="Times New Roman"/>
                <w:color w:val="454253"/>
                <w:sz w:val="26"/>
                <w:szCs w:val="26"/>
                <w:lang w:eastAsia="it-IT"/>
              </w:rPr>
            </w:pPr>
          </w:p>
        </w:tc>
      </w:tr>
      <w:tr w:rsidR="005606A6" w:rsidRPr="005606A6" w14:paraId="4FD39864" w14:textId="77777777" w:rsidTr="005606A6">
        <w:trPr>
          <w:trHeight w:val="690"/>
        </w:trPr>
        <w:tc>
          <w:tcPr>
            <w:tcW w:w="2459" w:type="dxa"/>
            <w:tcBorders>
              <w:top w:val="outset" w:sz="6" w:space="0" w:color="auto"/>
              <w:left w:val="outset" w:sz="6" w:space="0" w:color="auto"/>
              <w:bottom w:val="outset" w:sz="6" w:space="0" w:color="auto"/>
              <w:right w:val="outset" w:sz="6" w:space="0" w:color="auto"/>
            </w:tcBorders>
            <w:vAlign w:val="center"/>
            <w:hideMark/>
          </w:tcPr>
          <w:p w14:paraId="2D9FD209"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proofErr w:type="gramStart"/>
            <w:r w:rsidRPr="005606A6">
              <w:rPr>
                <w:rFonts w:ascii="Times New Roman" w:eastAsia="Times New Roman" w:hAnsi="Times New Roman" w:cs="Times New Roman"/>
                <w:color w:val="454253"/>
                <w:sz w:val="26"/>
                <w:szCs w:val="26"/>
                <w:lang w:eastAsia="it-IT"/>
              </w:rPr>
              <w:t>3°</w:t>
            </w:r>
            <w:proofErr w:type="gramEnd"/>
            <w:r w:rsidRPr="005606A6">
              <w:rPr>
                <w:rFonts w:ascii="Times New Roman" w:eastAsia="Times New Roman" w:hAnsi="Times New Roman" w:cs="Times New Roman"/>
                <w:color w:val="454253"/>
                <w:sz w:val="26"/>
                <w:szCs w:val="26"/>
                <w:lang w:eastAsia="it-IT"/>
              </w:rPr>
              <w:t xml:space="preserve"> trimestre 2022</w:t>
            </w:r>
          </w:p>
        </w:tc>
        <w:tc>
          <w:tcPr>
            <w:tcW w:w="2703" w:type="dxa"/>
            <w:tcBorders>
              <w:top w:val="outset" w:sz="6" w:space="0" w:color="auto"/>
              <w:left w:val="outset" w:sz="6" w:space="0" w:color="auto"/>
              <w:bottom w:val="outset" w:sz="6" w:space="0" w:color="auto"/>
              <w:right w:val="outset" w:sz="6" w:space="0" w:color="auto"/>
            </w:tcBorders>
            <w:vAlign w:val="center"/>
            <w:hideMark/>
          </w:tcPr>
          <w:p w14:paraId="67495DC9"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hyperlink r:id="rId7" w:history="1">
              <w:r w:rsidRPr="005606A6">
                <w:rPr>
                  <w:rFonts w:ascii="Times New Roman" w:eastAsia="Times New Roman" w:hAnsi="Times New Roman" w:cs="Times New Roman"/>
                  <w:color w:val="007BFF"/>
                  <w:sz w:val="26"/>
                  <w:szCs w:val="26"/>
                  <w:u w:val="single"/>
                  <w:lang w:eastAsia="it-IT"/>
                </w:rPr>
                <w:t>Art. 7, DL 115/2022</w:t>
              </w:r>
            </w:hyperlink>
          </w:p>
        </w:tc>
        <w:tc>
          <w:tcPr>
            <w:tcW w:w="4276" w:type="dxa"/>
            <w:tcBorders>
              <w:top w:val="outset" w:sz="6" w:space="0" w:color="auto"/>
              <w:left w:val="outset" w:sz="6" w:space="0" w:color="auto"/>
              <w:bottom w:val="outset" w:sz="6" w:space="0" w:color="auto"/>
              <w:right w:val="outset" w:sz="6" w:space="0" w:color="auto"/>
            </w:tcBorders>
            <w:vAlign w:val="center"/>
            <w:hideMark/>
          </w:tcPr>
          <w:p w14:paraId="049FE2E8"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r w:rsidRPr="005606A6">
              <w:rPr>
                <w:rFonts w:ascii="Times New Roman" w:eastAsia="Times New Roman" w:hAnsi="Times New Roman" w:cs="Times New Roman"/>
                <w:color w:val="454253"/>
                <w:sz w:val="26"/>
                <w:szCs w:val="26"/>
                <w:lang w:eastAsia="it-IT"/>
              </w:rPr>
              <w:t>Imprese esercenti attività agricola e della pesca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D08D91" w14:textId="77777777" w:rsidR="005606A6" w:rsidRPr="005606A6" w:rsidRDefault="005606A6" w:rsidP="005606A6">
            <w:pPr>
              <w:spacing w:after="0" w:line="240" w:lineRule="auto"/>
              <w:rPr>
                <w:rFonts w:ascii="Times New Roman" w:eastAsia="Times New Roman" w:hAnsi="Times New Roman" w:cs="Times New Roman"/>
                <w:color w:val="454253"/>
                <w:sz w:val="26"/>
                <w:szCs w:val="26"/>
                <w:lang w:eastAsia="it-IT"/>
              </w:rPr>
            </w:pPr>
          </w:p>
        </w:tc>
      </w:tr>
      <w:tr w:rsidR="005606A6" w:rsidRPr="005606A6" w14:paraId="7FDEDB8A" w14:textId="77777777" w:rsidTr="005606A6">
        <w:trPr>
          <w:trHeight w:val="1485"/>
        </w:trPr>
        <w:tc>
          <w:tcPr>
            <w:tcW w:w="2459" w:type="dxa"/>
            <w:tcBorders>
              <w:top w:val="outset" w:sz="6" w:space="0" w:color="auto"/>
              <w:left w:val="outset" w:sz="6" w:space="0" w:color="auto"/>
              <w:bottom w:val="outset" w:sz="6" w:space="0" w:color="auto"/>
              <w:right w:val="outset" w:sz="6" w:space="0" w:color="auto"/>
            </w:tcBorders>
            <w:vAlign w:val="center"/>
            <w:hideMark/>
          </w:tcPr>
          <w:p w14:paraId="038A0E52"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proofErr w:type="gramStart"/>
            <w:r w:rsidRPr="005606A6">
              <w:rPr>
                <w:rFonts w:ascii="Times New Roman" w:eastAsia="Times New Roman" w:hAnsi="Times New Roman" w:cs="Times New Roman"/>
                <w:color w:val="454253"/>
                <w:sz w:val="26"/>
                <w:szCs w:val="26"/>
                <w:lang w:eastAsia="it-IT"/>
              </w:rPr>
              <w:t>4°</w:t>
            </w:r>
            <w:proofErr w:type="gramEnd"/>
            <w:r w:rsidRPr="005606A6">
              <w:rPr>
                <w:rFonts w:ascii="Times New Roman" w:eastAsia="Times New Roman" w:hAnsi="Times New Roman" w:cs="Times New Roman"/>
                <w:color w:val="454253"/>
                <w:sz w:val="26"/>
                <w:szCs w:val="26"/>
                <w:lang w:eastAsia="it-IT"/>
              </w:rPr>
              <w:t xml:space="preserve"> trimestre 2022</w:t>
            </w:r>
          </w:p>
        </w:tc>
        <w:tc>
          <w:tcPr>
            <w:tcW w:w="2703" w:type="dxa"/>
            <w:tcBorders>
              <w:top w:val="outset" w:sz="6" w:space="0" w:color="auto"/>
              <w:left w:val="outset" w:sz="6" w:space="0" w:color="auto"/>
              <w:bottom w:val="outset" w:sz="6" w:space="0" w:color="auto"/>
              <w:right w:val="outset" w:sz="6" w:space="0" w:color="auto"/>
            </w:tcBorders>
            <w:vAlign w:val="center"/>
            <w:hideMark/>
          </w:tcPr>
          <w:p w14:paraId="62541908"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hyperlink r:id="rId8" w:history="1">
              <w:r w:rsidRPr="005606A6">
                <w:rPr>
                  <w:rFonts w:ascii="Times New Roman" w:eastAsia="Times New Roman" w:hAnsi="Times New Roman" w:cs="Times New Roman"/>
                  <w:color w:val="007BFF"/>
                  <w:sz w:val="26"/>
                  <w:szCs w:val="26"/>
                  <w:u w:val="single"/>
                  <w:lang w:eastAsia="it-IT"/>
                </w:rPr>
                <w:t>Art. 2, DL 144/2022</w:t>
              </w:r>
            </w:hyperlink>
          </w:p>
        </w:tc>
        <w:tc>
          <w:tcPr>
            <w:tcW w:w="4276" w:type="dxa"/>
            <w:tcBorders>
              <w:top w:val="outset" w:sz="6" w:space="0" w:color="auto"/>
              <w:left w:val="outset" w:sz="6" w:space="0" w:color="auto"/>
              <w:bottom w:val="outset" w:sz="6" w:space="0" w:color="auto"/>
              <w:right w:val="outset" w:sz="6" w:space="0" w:color="auto"/>
            </w:tcBorders>
            <w:vAlign w:val="center"/>
            <w:hideMark/>
          </w:tcPr>
          <w:p w14:paraId="4F513F6B"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r w:rsidRPr="005606A6">
              <w:rPr>
                <w:rFonts w:ascii="Times New Roman" w:eastAsia="Times New Roman" w:hAnsi="Times New Roman" w:cs="Times New Roman"/>
                <w:color w:val="454253"/>
                <w:sz w:val="26"/>
                <w:szCs w:val="26"/>
                <w:lang w:eastAsia="it-IT"/>
              </w:rPr>
              <w:t xml:space="preserve">Imprese esercenti attività agricola e della pesca e imprese esercenti attività </w:t>
            </w:r>
            <w:proofErr w:type="spellStart"/>
            <w:r w:rsidRPr="005606A6">
              <w:rPr>
                <w:rFonts w:ascii="Times New Roman" w:eastAsia="Times New Roman" w:hAnsi="Times New Roman" w:cs="Times New Roman"/>
                <w:color w:val="454253"/>
                <w:sz w:val="26"/>
                <w:szCs w:val="26"/>
                <w:lang w:eastAsia="it-IT"/>
              </w:rPr>
              <w:t>agromeccanica</w:t>
            </w:r>
            <w:proofErr w:type="spellEnd"/>
            <w:r w:rsidRPr="005606A6">
              <w:rPr>
                <w:rFonts w:ascii="Times New Roman" w:eastAsia="Times New Roman" w:hAnsi="Times New Roman" w:cs="Times New Roman"/>
                <w:color w:val="454253"/>
                <w:sz w:val="26"/>
                <w:szCs w:val="26"/>
                <w:lang w:eastAsia="it-IT"/>
              </w:rPr>
              <w:t xml:space="preserve"> (codice ATECO 1.61)</w:t>
            </w:r>
          </w:p>
        </w:tc>
        <w:tc>
          <w:tcPr>
            <w:tcW w:w="5834" w:type="dxa"/>
            <w:tcBorders>
              <w:top w:val="outset" w:sz="6" w:space="0" w:color="auto"/>
              <w:left w:val="outset" w:sz="6" w:space="0" w:color="auto"/>
              <w:bottom w:val="outset" w:sz="6" w:space="0" w:color="auto"/>
              <w:right w:val="outset" w:sz="6" w:space="0" w:color="auto"/>
            </w:tcBorders>
            <w:vAlign w:val="center"/>
            <w:hideMark/>
          </w:tcPr>
          <w:p w14:paraId="7AFABAD8" w14:textId="77777777" w:rsidR="005606A6" w:rsidRPr="005606A6" w:rsidRDefault="005606A6" w:rsidP="005606A6">
            <w:pPr>
              <w:spacing w:after="300" w:line="240" w:lineRule="auto"/>
              <w:rPr>
                <w:rFonts w:ascii="Times New Roman" w:eastAsia="Times New Roman" w:hAnsi="Times New Roman" w:cs="Times New Roman"/>
                <w:color w:val="454253"/>
                <w:sz w:val="26"/>
                <w:szCs w:val="26"/>
                <w:lang w:eastAsia="it-IT"/>
              </w:rPr>
            </w:pPr>
            <w:r w:rsidRPr="005606A6">
              <w:rPr>
                <w:rFonts w:ascii="Times New Roman" w:eastAsia="Times New Roman" w:hAnsi="Times New Roman" w:cs="Times New Roman"/>
                <w:color w:val="454253"/>
                <w:sz w:val="26"/>
                <w:szCs w:val="26"/>
                <w:lang w:eastAsia="it-IT"/>
              </w:rPr>
              <w:t xml:space="preserve">Acquisto di gasolio e benzina per la trazione dei mezzi utilizzati per l'esercizio delle attività agricole, della pesca e </w:t>
            </w:r>
            <w:proofErr w:type="spellStart"/>
            <w:r w:rsidRPr="005606A6">
              <w:rPr>
                <w:rFonts w:ascii="Times New Roman" w:eastAsia="Times New Roman" w:hAnsi="Times New Roman" w:cs="Times New Roman"/>
                <w:color w:val="454253"/>
                <w:sz w:val="26"/>
                <w:szCs w:val="26"/>
                <w:lang w:eastAsia="it-IT"/>
              </w:rPr>
              <w:t>agromeccaniche</w:t>
            </w:r>
            <w:proofErr w:type="spellEnd"/>
            <w:r w:rsidRPr="005606A6">
              <w:rPr>
                <w:rFonts w:ascii="Times New Roman" w:eastAsia="Times New Roman" w:hAnsi="Times New Roman" w:cs="Times New Roman"/>
                <w:color w:val="454253"/>
                <w:sz w:val="26"/>
                <w:szCs w:val="26"/>
                <w:lang w:eastAsia="it-IT"/>
              </w:rPr>
              <w:t xml:space="preserve"> e per il riscaldamento delle serre e dei fabbricati produttivi adibiti all'allevamento degli animali.</w:t>
            </w:r>
          </w:p>
        </w:tc>
      </w:tr>
    </w:tbl>
    <w:p w14:paraId="23992CB4" w14:textId="77777777" w:rsidR="005606A6" w:rsidRPr="005606A6" w:rsidRDefault="005606A6" w:rsidP="005606A6">
      <w:pPr>
        <w:shd w:val="clear" w:color="auto" w:fill="FFFFFF"/>
        <w:spacing w:after="300" w:line="240" w:lineRule="auto"/>
        <w:rPr>
          <w:rFonts w:ascii="Raleway" w:eastAsia="Times New Roman" w:hAnsi="Raleway" w:cs="Times New Roman"/>
          <w:color w:val="454253"/>
          <w:sz w:val="26"/>
          <w:szCs w:val="26"/>
          <w:lang w:eastAsia="it-IT"/>
        </w:rPr>
      </w:pPr>
      <w:r w:rsidRPr="005606A6">
        <w:rPr>
          <w:rFonts w:ascii="Raleway" w:eastAsia="Times New Roman" w:hAnsi="Raleway" w:cs="Times New Roman"/>
          <w:b/>
          <w:bCs/>
          <w:color w:val="454253"/>
          <w:sz w:val="26"/>
          <w:szCs w:val="26"/>
          <w:lang w:eastAsia="it-IT"/>
        </w:rPr>
        <w:t>L'ambito di applicazione dell'agevolazione</w:t>
      </w:r>
    </w:p>
    <w:p w14:paraId="4654BAB3" w14:textId="77777777" w:rsidR="005606A6" w:rsidRPr="005606A6" w:rsidRDefault="005606A6" w:rsidP="005606A6">
      <w:pPr>
        <w:shd w:val="clear" w:color="auto" w:fill="FFFFFF"/>
        <w:spacing w:after="300" w:line="240" w:lineRule="auto"/>
        <w:rPr>
          <w:rFonts w:ascii="Raleway" w:eastAsia="Times New Roman" w:hAnsi="Raleway" w:cs="Times New Roman"/>
          <w:color w:val="454253"/>
          <w:sz w:val="26"/>
          <w:szCs w:val="26"/>
          <w:lang w:eastAsia="it-IT"/>
        </w:rPr>
      </w:pPr>
      <w:r w:rsidRPr="005606A6">
        <w:rPr>
          <w:rFonts w:ascii="Raleway" w:eastAsia="Times New Roman" w:hAnsi="Raleway" w:cs="Times New Roman"/>
          <w:color w:val="454253"/>
          <w:sz w:val="26"/>
          <w:szCs w:val="26"/>
          <w:lang w:eastAsia="it-IT"/>
        </w:rPr>
        <w:t>La norma attualmente contenuta nel Disegno di legge di Bilancio ricalca quella prevista per il quarto trimestre 2022. Il credito spetta, quindi, alle </w:t>
      </w:r>
      <w:r w:rsidRPr="005606A6">
        <w:rPr>
          <w:rFonts w:ascii="Raleway" w:eastAsia="Times New Roman" w:hAnsi="Raleway" w:cs="Times New Roman"/>
          <w:b/>
          <w:bCs/>
          <w:color w:val="454253"/>
          <w:sz w:val="26"/>
          <w:szCs w:val="26"/>
          <w:lang w:eastAsia="it-IT"/>
        </w:rPr>
        <w:t>imprese esercenti attività agricola e della pesca </w:t>
      </w:r>
      <w:r w:rsidRPr="005606A6">
        <w:rPr>
          <w:rFonts w:ascii="Raleway" w:eastAsia="Times New Roman" w:hAnsi="Raleway" w:cs="Times New Roman"/>
          <w:color w:val="454253"/>
          <w:sz w:val="26"/>
          <w:szCs w:val="26"/>
          <w:lang w:eastAsia="it-IT"/>
        </w:rPr>
        <w:t>e alle </w:t>
      </w:r>
      <w:r w:rsidRPr="005606A6">
        <w:rPr>
          <w:rFonts w:ascii="Raleway" w:eastAsia="Times New Roman" w:hAnsi="Raleway" w:cs="Times New Roman"/>
          <w:b/>
          <w:bCs/>
          <w:color w:val="454253"/>
          <w:sz w:val="26"/>
          <w:szCs w:val="26"/>
          <w:lang w:eastAsia="it-IT"/>
        </w:rPr>
        <w:t xml:space="preserve">imprese esercenti attività </w:t>
      </w:r>
      <w:proofErr w:type="spellStart"/>
      <w:r w:rsidRPr="005606A6">
        <w:rPr>
          <w:rFonts w:ascii="Raleway" w:eastAsia="Times New Roman" w:hAnsi="Raleway" w:cs="Times New Roman"/>
          <w:b/>
          <w:bCs/>
          <w:color w:val="454253"/>
          <w:sz w:val="26"/>
          <w:szCs w:val="26"/>
          <w:lang w:eastAsia="it-IT"/>
        </w:rPr>
        <w:t>agromeccanica</w:t>
      </w:r>
      <w:proofErr w:type="spellEnd"/>
      <w:r w:rsidRPr="005606A6">
        <w:rPr>
          <w:rFonts w:ascii="Raleway" w:eastAsia="Times New Roman" w:hAnsi="Raleway" w:cs="Times New Roman"/>
          <w:color w:val="454253"/>
          <w:sz w:val="26"/>
          <w:szCs w:val="26"/>
          <w:lang w:eastAsia="it-IT"/>
        </w:rPr>
        <w:t xml:space="preserve"> che abbiano codice ATECO 1.61 (Attività di supporto alla produzione vegetale). Nei primi trimestri dell'anno 2022, il legislatore aveva </w:t>
      </w:r>
      <w:r w:rsidRPr="005606A6">
        <w:rPr>
          <w:rFonts w:ascii="Raleway" w:eastAsia="Times New Roman" w:hAnsi="Raleway" w:cs="Times New Roman"/>
          <w:color w:val="454253"/>
          <w:sz w:val="26"/>
          <w:szCs w:val="26"/>
          <w:lang w:eastAsia="it-IT"/>
        </w:rPr>
        <w:lastRenderedPageBreak/>
        <w:t xml:space="preserve">riconosciuto il bonus esclusivamente alle “imprese agricole e della pesca”, senza menzionare esplicitamente le imprese </w:t>
      </w:r>
      <w:proofErr w:type="spellStart"/>
      <w:r w:rsidRPr="005606A6">
        <w:rPr>
          <w:rFonts w:ascii="Raleway" w:eastAsia="Times New Roman" w:hAnsi="Raleway" w:cs="Times New Roman"/>
          <w:color w:val="454253"/>
          <w:sz w:val="26"/>
          <w:szCs w:val="26"/>
          <w:lang w:eastAsia="it-IT"/>
        </w:rPr>
        <w:t>agromeccaniche</w:t>
      </w:r>
      <w:proofErr w:type="spellEnd"/>
      <w:r w:rsidRPr="005606A6">
        <w:rPr>
          <w:rFonts w:ascii="Raleway" w:eastAsia="Times New Roman" w:hAnsi="Raleway" w:cs="Times New Roman"/>
          <w:color w:val="454253"/>
          <w:sz w:val="26"/>
          <w:szCs w:val="26"/>
          <w:lang w:eastAsia="it-IT"/>
        </w:rPr>
        <w:t xml:space="preserve">. Era stato ritenuto che fossero comunque incluse le imprese </w:t>
      </w:r>
      <w:proofErr w:type="spellStart"/>
      <w:r w:rsidRPr="005606A6">
        <w:rPr>
          <w:rFonts w:ascii="Raleway" w:eastAsia="Times New Roman" w:hAnsi="Raleway" w:cs="Times New Roman"/>
          <w:color w:val="454253"/>
          <w:sz w:val="26"/>
          <w:szCs w:val="26"/>
          <w:lang w:eastAsia="it-IT"/>
        </w:rPr>
        <w:t>agromeccaniche</w:t>
      </w:r>
      <w:proofErr w:type="spellEnd"/>
      <w:r w:rsidRPr="005606A6">
        <w:rPr>
          <w:rFonts w:ascii="Raleway" w:eastAsia="Times New Roman" w:hAnsi="Raleway" w:cs="Times New Roman"/>
          <w:color w:val="454253"/>
          <w:sz w:val="26"/>
          <w:szCs w:val="26"/>
          <w:lang w:eastAsia="it-IT"/>
        </w:rPr>
        <w:t xml:space="preserve"> in quanto, pur non essendo imprese agricole in senso stretto (cioè a norma dell'</w:t>
      </w:r>
      <w:hyperlink r:id="rId9" w:history="1">
        <w:r w:rsidRPr="005606A6">
          <w:rPr>
            <w:rFonts w:ascii="Raleway" w:eastAsia="Times New Roman" w:hAnsi="Raleway" w:cs="Times New Roman"/>
            <w:color w:val="007BFF"/>
            <w:sz w:val="26"/>
            <w:szCs w:val="26"/>
            <w:u w:val="single"/>
            <w:lang w:eastAsia="it-IT"/>
          </w:rPr>
          <w:t>art. 2135 c.c.</w:t>
        </w:r>
      </w:hyperlink>
      <w:r w:rsidRPr="005606A6">
        <w:rPr>
          <w:rFonts w:ascii="Raleway" w:eastAsia="Times New Roman" w:hAnsi="Raleway" w:cs="Times New Roman"/>
          <w:color w:val="454253"/>
          <w:sz w:val="26"/>
          <w:szCs w:val="26"/>
          <w:lang w:eastAsia="it-IT"/>
        </w:rPr>
        <w:t xml:space="preserve">) svolgono attività agricole. Tuttavia, la menzione esplicita alle imprese </w:t>
      </w:r>
      <w:proofErr w:type="spellStart"/>
      <w:r w:rsidRPr="005606A6">
        <w:rPr>
          <w:rFonts w:ascii="Raleway" w:eastAsia="Times New Roman" w:hAnsi="Raleway" w:cs="Times New Roman"/>
          <w:color w:val="454253"/>
          <w:sz w:val="26"/>
          <w:szCs w:val="26"/>
          <w:lang w:eastAsia="it-IT"/>
        </w:rPr>
        <w:t>agromeccaniche</w:t>
      </w:r>
      <w:proofErr w:type="spellEnd"/>
      <w:r w:rsidRPr="005606A6">
        <w:rPr>
          <w:rFonts w:ascii="Raleway" w:eastAsia="Times New Roman" w:hAnsi="Raleway" w:cs="Times New Roman"/>
          <w:color w:val="454253"/>
          <w:sz w:val="26"/>
          <w:szCs w:val="26"/>
          <w:lang w:eastAsia="it-IT"/>
        </w:rPr>
        <w:t xml:space="preserve"> contenuta nel Disegno di Legge di Bilancio 2023, analoga a quella contenuta nel </w:t>
      </w:r>
      <w:hyperlink r:id="rId10" w:history="1">
        <w:r w:rsidRPr="005606A6">
          <w:rPr>
            <w:rFonts w:ascii="Raleway" w:eastAsia="Times New Roman" w:hAnsi="Raleway" w:cs="Times New Roman"/>
            <w:color w:val="007BFF"/>
            <w:sz w:val="26"/>
            <w:szCs w:val="26"/>
            <w:u w:val="single"/>
            <w:lang w:eastAsia="it-IT"/>
          </w:rPr>
          <w:t>Dl 144/2022</w:t>
        </w:r>
      </w:hyperlink>
      <w:r w:rsidRPr="005606A6">
        <w:rPr>
          <w:rFonts w:ascii="Raleway" w:eastAsia="Times New Roman" w:hAnsi="Raleway" w:cs="Times New Roman"/>
          <w:color w:val="454253"/>
          <w:sz w:val="26"/>
          <w:szCs w:val="26"/>
          <w:lang w:eastAsia="it-IT"/>
        </w:rPr>
        <w:t xml:space="preserve"> che ha previsto l'agevolazione per il quarto trimestre, mettono in dubbio tale interpretazione. Non è chiaro se questa previsione deve essere intesa come precisazione (per cui il credito spetta alle imprese </w:t>
      </w:r>
      <w:proofErr w:type="spellStart"/>
      <w:r w:rsidRPr="005606A6">
        <w:rPr>
          <w:rFonts w:ascii="Raleway" w:eastAsia="Times New Roman" w:hAnsi="Raleway" w:cs="Times New Roman"/>
          <w:color w:val="454253"/>
          <w:sz w:val="26"/>
          <w:szCs w:val="26"/>
          <w:lang w:eastAsia="it-IT"/>
        </w:rPr>
        <w:t>agromeccaniche</w:t>
      </w:r>
      <w:proofErr w:type="spellEnd"/>
      <w:r w:rsidRPr="005606A6">
        <w:rPr>
          <w:rFonts w:ascii="Raleway" w:eastAsia="Times New Roman" w:hAnsi="Raleway" w:cs="Times New Roman"/>
          <w:color w:val="454253"/>
          <w:sz w:val="26"/>
          <w:szCs w:val="26"/>
          <w:lang w:eastAsia="it-IT"/>
        </w:rPr>
        <w:t xml:space="preserve"> anche per il primo e per il terzo trimestre) oppure se deve essere intesa come “novità” (e, quindi, spetterebbe loro solo per il quarto trimestre 2022 e per il </w:t>
      </w:r>
      <w:proofErr w:type="gramStart"/>
      <w:r w:rsidRPr="005606A6">
        <w:rPr>
          <w:rFonts w:ascii="Raleway" w:eastAsia="Times New Roman" w:hAnsi="Raleway" w:cs="Times New Roman"/>
          <w:color w:val="454253"/>
          <w:sz w:val="26"/>
          <w:szCs w:val="26"/>
          <w:lang w:eastAsia="it-IT"/>
        </w:rPr>
        <w:t>1°</w:t>
      </w:r>
      <w:proofErr w:type="gramEnd"/>
      <w:r w:rsidRPr="005606A6">
        <w:rPr>
          <w:rFonts w:ascii="Raleway" w:eastAsia="Times New Roman" w:hAnsi="Raleway" w:cs="Times New Roman"/>
          <w:color w:val="454253"/>
          <w:sz w:val="26"/>
          <w:szCs w:val="26"/>
          <w:lang w:eastAsia="it-IT"/>
        </w:rPr>
        <w:t xml:space="preserve"> trimestre 2023). Sarebbe opportuno un chiarimento in tal senso.</w:t>
      </w:r>
    </w:p>
    <w:p w14:paraId="3B8B3F8B" w14:textId="77777777" w:rsidR="005606A6" w:rsidRPr="005606A6" w:rsidRDefault="005606A6" w:rsidP="005606A6">
      <w:pPr>
        <w:shd w:val="clear" w:color="auto" w:fill="FFFFFF"/>
        <w:spacing w:after="300" w:line="240" w:lineRule="auto"/>
        <w:rPr>
          <w:rFonts w:ascii="Raleway" w:eastAsia="Times New Roman" w:hAnsi="Raleway" w:cs="Times New Roman"/>
          <w:color w:val="454253"/>
          <w:sz w:val="26"/>
          <w:szCs w:val="26"/>
          <w:lang w:eastAsia="it-IT"/>
        </w:rPr>
      </w:pPr>
      <w:r w:rsidRPr="005606A6">
        <w:rPr>
          <w:rFonts w:ascii="Raleway" w:eastAsia="Times New Roman" w:hAnsi="Raleway" w:cs="Times New Roman"/>
          <w:color w:val="454253"/>
          <w:sz w:val="26"/>
          <w:szCs w:val="26"/>
          <w:lang w:eastAsia="it-IT"/>
        </w:rPr>
        <w:t>A parere di chi scrive, </w:t>
      </w:r>
      <w:r w:rsidRPr="005606A6">
        <w:rPr>
          <w:rFonts w:ascii="Raleway" w:eastAsia="Times New Roman" w:hAnsi="Raleway" w:cs="Times New Roman"/>
          <w:b/>
          <w:bCs/>
          <w:color w:val="454253"/>
          <w:sz w:val="26"/>
          <w:szCs w:val="26"/>
          <w:lang w:eastAsia="it-IT"/>
        </w:rPr>
        <w:t xml:space="preserve">l'inclusione delle imprese </w:t>
      </w:r>
      <w:proofErr w:type="spellStart"/>
      <w:r w:rsidRPr="005606A6">
        <w:rPr>
          <w:rFonts w:ascii="Raleway" w:eastAsia="Times New Roman" w:hAnsi="Raleway" w:cs="Times New Roman"/>
          <w:b/>
          <w:bCs/>
          <w:color w:val="454253"/>
          <w:sz w:val="26"/>
          <w:szCs w:val="26"/>
          <w:lang w:eastAsia="it-IT"/>
        </w:rPr>
        <w:t>agromeccaniche</w:t>
      </w:r>
      <w:proofErr w:type="spellEnd"/>
      <w:r w:rsidRPr="005606A6">
        <w:rPr>
          <w:rFonts w:ascii="Raleway" w:eastAsia="Times New Roman" w:hAnsi="Raleway" w:cs="Times New Roman"/>
          <w:color w:val="454253"/>
          <w:sz w:val="26"/>
          <w:szCs w:val="26"/>
          <w:lang w:eastAsia="it-IT"/>
        </w:rPr>
        <w:t xml:space="preserve"> anche per i trimestri diversi da quelli dove sono espressamente previste sarebbe opportuno in quanto il beneficio sarebbe diretto anche agli agricoltori (sicuri beneficiari dell'agevolazione): la possibilità per le imprese </w:t>
      </w:r>
      <w:proofErr w:type="spellStart"/>
      <w:r w:rsidRPr="005606A6">
        <w:rPr>
          <w:rFonts w:ascii="Raleway" w:eastAsia="Times New Roman" w:hAnsi="Raleway" w:cs="Times New Roman"/>
          <w:color w:val="454253"/>
          <w:sz w:val="26"/>
          <w:szCs w:val="26"/>
          <w:lang w:eastAsia="it-IT"/>
        </w:rPr>
        <w:t>agromeccaniche</w:t>
      </w:r>
      <w:proofErr w:type="spellEnd"/>
      <w:r w:rsidRPr="005606A6">
        <w:rPr>
          <w:rFonts w:ascii="Raleway" w:eastAsia="Times New Roman" w:hAnsi="Raleway" w:cs="Times New Roman"/>
          <w:color w:val="454253"/>
          <w:sz w:val="26"/>
          <w:szCs w:val="26"/>
          <w:lang w:eastAsia="it-IT"/>
        </w:rPr>
        <w:t xml:space="preserve"> che effettuano lavorazioni agricola alle imprese agricole di fruire del credito di imposta avrebbe come diretta conseguenza quella di non incrementare i prezzi delle lavorazioni stesse dovute all'aumento del prezzo del carburante.</w:t>
      </w:r>
    </w:p>
    <w:p w14:paraId="68117B27" w14:textId="77777777" w:rsidR="005606A6" w:rsidRPr="005606A6" w:rsidRDefault="005606A6" w:rsidP="005606A6">
      <w:pPr>
        <w:shd w:val="clear" w:color="auto" w:fill="FFFFFF"/>
        <w:spacing w:after="300" w:line="240" w:lineRule="auto"/>
        <w:rPr>
          <w:rFonts w:ascii="Raleway" w:eastAsia="Times New Roman" w:hAnsi="Raleway" w:cs="Times New Roman"/>
          <w:color w:val="454253"/>
          <w:sz w:val="26"/>
          <w:szCs w:val="26"/>
          <w:lang w:eastAsia="it-IT"/>
        </w:rPr>
      </w:pPr>
      <w:r w:rsidRPr="005606A6">
        <w:rPr>
          <w:rFonts w:ascii="Raleway" w:eastAsia="Times New Roman" w:hAnsi="Raleway" w:cs="Times New Roman"/>
          <w:color w:val="454253"/>
          <w:sz w:val="26"/>
          <w:szCs w:val="26"/>
          <w:lang w:eastAsia="it-IT"/>
        </w:rPr>
        <w:t>Per quanto riguarda l'ambito oggettivo, il disegno di legge di Bilancio riconosce il credito di imposta per due tipologie di acquisti. Il credito spetta anzitutto con riferimento agli acquisti effettuati per l'acquisto di gasolio e benzina per la </w:t>
      </w:r>
      <w:r w:rsidRPr="005606A6">
        <w:rPr>
          <w:rFonts w:ascii="Raleway" w:eastAsia="Times New Roman" w:hAnsi="Raleway" w:cs="Times New Roman"/>
          <w:b/>
          <w:bCs/>
          <w:color w:val="454253"/>
          <w:sz w:val="26"/>
          <w:szCs w:val="26"/>
          <w:lang w:eastAsia="it-IT"/>
        </w:rPr>
        <w:t>trazione dei mezzi agricoli</w:t>
      </w:r>
      <w:r w:rsidRPr="005606A6">
        <w:rPr>
          <w:rFonts w:ascii="Raleway" w:eastAsia="Times New Roman" w:hAnsi="Raleway" w:cs="Times New Roman"/>
          <w:color w:val="454253"/>
          <w:sz w:val="26"/>
          <w:szCs w:val="26"/>
          <w:lang w:eastAsia="it-IT"/>
        </w:rPr>
        <w:t>; inoltre, per il primo trimestre 2023 (al pari del quarto trimestre 2022) spetta anche con riferimento agli acquisti di carburante utilizzato per il </w:t>
      </w:r>
      <w:r w:rsidRPr="005606A6">
        <w:rPr>
          <w:rFonts w:ascii="Raleway" w:eastAsia="Times New Roman" w:hAnsi="Raleway" w:cs="Times New Roman"/>
          <w:b/>
          <w:bCs/>
          <w:color w:val="454253"/>
          <w:sz w:val="26"/>
          <w:szCs w:val="26"/>
          <w:lang w:eastAsia="it-IT"/>
        </w:rPr>
        <w:t>riscaldamento delle serre</w:t>
      </w:r>
      <w:r w:rsidRPr="005606A6">
        <w:rPr>
          <w:rFonts w:ascii="Raleway" w:eastAsia="Times New Roman" w:hAnsi="Raleway" w:cs="Times New Roman"/>
          <w:color w:val="454253"/>
          <w:sz w:val="26"/>
          <w:szCs w:val="26"/>
          <w:lang w:eastAsia="it-IT"/>
        </w:rPr>
        <w:t> e dei </w:t>
      </w:r>
      <w:r w:rsidRPr="005606A6">
        <w:rPr>
          <w:rFonts w:ascii="Raleway" w:eastAsia="Times New Roman" w:hAnsi="Raleway" w:cs="Times New Roman"/>
          <w:b/>
          <w:bCs/>
          <w:color w:val="454253"/>
          <w:sz w:val="26"/>
          <w:szCs w:val="26"/>
          <w:lang w:eastAsia="it-IT"/>
        </w:rPr>
        <w:t>fabbricati</w:t>
      </w:r>
      <w:r w:rsidRPr="005606A6">
        <w:rPr>
          <w:rFonts w:ascii="Raleway" w:eastAsia="Times New Roman" w:hAnsi="Raleway" w:cs="Times New Roman"/>
          <w:color w:val="454253"/>
          <w:sz w:val="26"/>
          <w:szCs w:val="26"/>
          <w:lang w:eastAsia="it-IT"/>
        </w:rPr>
        <w:t> produttivi </w:t>
      </w:r>
      <w:r w:rsidRPr="005606A6">
        <w:rPr>
          <w:rFonts w:ascii="Raleway" w:eastAsia="Times New Roman" w:hAnsi="Raleway" w:cs="Times New Roman"/>
          <w:b/>
          <w:bCs/>
          <w:color w:val="454253"/>
          <w:sz w:val="26"/>
          <w:szCs w:val="26"/>
          <w:lang w:eastAsia="it-IT"/>
        </w:rPr>
        <w:t>adibiti all'allevamento</w:t>
      </w:r>
      <w:r w:rsidRPr="005606A6">
        <w:rPr>
          <w:rFonts w:ascii="Raleway" w:eastAsia="Times New Roman" w:hAnsi="Raleway" w:cs="Times New Roman"/>
          <w:color w:val="454253"/>
          <w:sz w:val="26"/>
          <w:szCs w:val="26"/>
          <w:lang w:eastAsia="it-IT"/>
        </w:rPr>
        <w:t> di animali.</w:t>
      </w:r>
    </w:p>
    <w:p w14:paraId="01AE8833" w14:textId="77777777" w:rsidR="005606A6" w:rsidRPr="005606A6" w:rsidRDefault="005606A6" w:rsidP="005606A6">
      <w:pPr>
        <w:shd w:val="clear" w:color="auto" w:fill="FFFFFF"/>
        <w:spacing w:after="300" w:line="240" w:lineRule="auto"/>
        <w:rPr>
          <w:rFonts w:ascii="Raleway" w:eastAsia="Times New Roman" w:hAnsi="Raleway" w:cs="Times New Roman"/>
          <w:color w:val="454253"/>
          <w:sz w:val="26"/>
          <w:szCs w:val="26"/>
          <w:lang w:eastAsia="it-IT"/>
        </w:rPr>
      </w:pPr>
      <w:r w:rsidRPr="005606A6">
        <w:rPr>
          <w:rFonts w:ascii="Raleway" w:eastAsia="Times New Roman" w:hAnsi="Raleway" w:cs="Times New Roman"/>
          <w:b/>
          <w:bCs/>
          <w:color w:val="454253"/>
          <w:sz w:val="26"/>
          <w:szCs w:val="26"/>
          <w:lang w:eastAsia="it-IT"/>
        </w:rPr>
        <w:t>L'utilizzo del credito</w:t>
      </w:r>
    </w:p>
    <w:p w14:paraId="1FABB7C3" w14:textId="77777777" w:rsidR="005606A6" w:rsidRPr="005606A6" w:rsidRDefault="005606A6" w:rsidP="005606A6">
      <w:pPr>
        <w:shd w:val="clear" w:color="auto" w:fill="FFFFFF"/>
        <w:spacing w:after="300" w:line="240" w:lineRule="auto"/>
        <w:rPr>
          <w:rFonts w:ascii="Raleway" w:eastAsia="Times New Roman" w:hAnsi="Raleway" w:cs="Times New Roman"/>
          <w:color w:val="454253"/>
          <w:sz w:val="26"/>
          <w:szCs w:val="26"/>
          <w:lang w:eastAsia="it-IT"/>
        </w:rPr>
      </w:pPr>
      <w:r w:rsidRPr="005606A6">
        <w:rPr>
          <w:rFonts w:ascii="Raleway" w:eastAsia="Times New Roman" w:hAnsi="Raleway" w:cs="Times New Roman"/>
          <w:color w:val="454253"/>
          <w:sz w:val="26"/>
          <w:szCs w:val="26"/>
          <w:lang w:eastAsia="it-IT"/>
        </w:rPr>
        <w:t>Il </w:t>
      </w:r>
      <w:r w:rsidRPr="005606A6">
        <w:rPr>
          <w:rFonts w:ascii="Raleway" w:eastAsia="Times New Roman" w:hAnsi="Raleway" w:cs="Times New Roman"/>
          <w:b/>
          <w:bCs/>
          <w:color w:val="454253"/>
          <w:sz w:val="26"/>
          <w:szCs w:val="26"/>
          <w:lang w:eastAsia="it-IT"/>
        </w:rPr>
        <w:t>credito</w:t>
      </w:r>
      <w:r w:rsidRPr="005606A6">
        <w:rPr>
          <w:rFonts w:ascii="Raleway" w:eastAsia="Times New Roman" w:hAnsi="Raleway" w:cs="Times New Roman"/>
          <w:color w:val="454253"/>
          <w:sz w:val="26"/>
          <w:szCs w:val="26"/>
          <w:lang w:eastAsia="it-IT"/>
        </w:rPr>
        <w:t> è </w:t>
      </w:r>
      <w:r w:rsidRPr="005606A6">
        <w:rPr>
          <w:rFonts w:ascii="Raleway" w:eastAsia="Times New Roman" w:hAnsi="Raleway" w:cs="Times New Roman"/>
          <w:b/>
          <w:bCs/>
          <w:color w:val="454253"/>
          <w:sz w:val="26"/>
          <w:szCs w:val="26"/>
          <w:lang w:eastAsia="it-IT"/>
        </w:rPr>
        <w:t>pari al 20% della spesa sostenuta</w:t>
      </w:r>
      <w:r w:rsidRPr="005606A6">
        <w:rPr>
          <w:rFonts w:ascii="Raleway" w:eastAsia="Times New Roman" w:hAnsi="Raleway" w:cs="Times New Roman"/>
          <w:color w:val="454253"/>
          <w:sz w:val="26"/>
          <w:szCs w:val="26"/>
          <w:lang w:eastAsia="it-IT"/>
        </w:rPr>
        <w:t> nel trimestre, senza tener conto dell'Iva. Il riferimento è alla «spesa sostenuta per l'acquisto del carburante effettuato nel trimestre»; si ritiene, pertanto, che non sia necessario il pagamento nel trimestre per beneficiare del credito ma solo che l'operazione sia effettuata. Il credito è </w:t>
      </w:r>
      <w:r w:rsidRPr="005606A6">
        <w:rPr>
          <w:rFonts w:ascii="Raleway" w:eastAsia="Times New Roman" w:hAnsi="Raleway" w:cs="Times New Roman"/>
          <w:b/>
          <w:bCs/>
          <w:color w:val="454253"/>
          <w:sz w:val="26"/>
          <w:szCs w:val="26"/>
          <w:lang w:eastAsia="it-IT"/>
        </w:rPr>
        <w:t>utilizzabile in compensazione</w:t>
      </w:r>
      <w:r w:rsidRPr="005606A6">
        <w:rPr>
          <w:rFonts w:ascii="Raleway" w:eastAsia="Times New Roman" w:hAnsi="Raleway" w:cs="Times New Roman"/>
          <w:color w:val="454253"/>
          <w:sz w:val="26"/>
          <w:szCs w:val="26"/>
          <w:lang w:eastAsia="it-IT"/>
        </w:rPr>
        <w:t> orizzontale </w:t>
      </w:r>
      <w:r w:rsidRPr="005606A6">
        <w:rPr>
          <w:rFonts w:ascii="Raleway" w:eastAsia="Times New Roman" w:hAnsi="Raleway" w:cs="Times New Roman"/>
          <w:b/>
          <w:bCs/>
          <w:color w:val="454253"/>
          <w:sz w:val="26"/>
          <w:szCs w:val="26"/>
          <w:lang w:eastAsia="it-IT"/>
        </w:rPr>
        <w:t>entro il 31 dicembre 2023</w:t>
      </w:r>
      <w:r w:rsidRPr="005606A6">
        <w:rPr>
          <w:rFonts w:ascii="Raleway" w:eastAsia="Times New Roman" w:hAnsi="Raleway" w:cs="Times New Roman"/>
          <w:color w:val="454253"/>
          <w:sz w:val="26"/>
          <w:szCs w:val="26"/>
          <w:lang w:eastAsia="it-IT"/>
        </w:rPr>
        <w:t>. La norma precisa che non si applicano i limiti di cui all'</w:t>
      </w:r>
      <w:hyperlink r:id="rId11" w:history="1">
        <w:r w:rsidRPr="005606A6">
          <w:rPr>
            <w:rFonts w:ascii="Raleway" w:eastAsia="Times New Roman" w:hAnsi="Raleway" w:cs="Times New Roman"/>
            <w:color w:val="007BFF"/>
            <w:sz w:val="26"/>
            <w:szCs w:val="26"/>
            <w:u w:val="single"/>
            <w:lang w:eastAsia="it-IT"/>
          </w:rPr>
          <w:t>articolo 1, comma 53, della legge 24 dicembre 2007, n. 244</w:t>
        </w:r>
      </w:hyperlink>
      <w:r w:rsidRPr="005606A6">
        <w:rPr>
          <w:rFonts w:ascii="Raleway" w:eastAsia="Times New Roman" w:hAnsi="Raleway" w:cs="Times New Roman"/>
          <w:color w:val="454253"/>
          <w:sz w:val="26"/>
          <w:szCs w:val="26"/>
          <w:lang w:eastAsia="it-IT"/>
        </w:rPr>
        <w:t>, e di cui all'</w:t>
      </w:r>
      <w:hyperlink r:id="rId12" w:history="1">
        <w:r w:rsidRPr="005606A6">
          <w:rPr>
            <w:rFonts w:ascii="Raleway" w:eastAsia="Times New Roman" w:hAnsi="Raleway" w:cs="Times New Roman"/>
            <w:color w:val="007BFF"/>
            <w:sz w:val="26"/>
            <w:szCs w:val="26"/>
            <w:u w:val="single"/>
            <w:lang w:eastAsia="it-IT"/>
          </w:rPr>
          <w:t>articolo 34 della legge 23 dicembre 2000, n. 388</w:t>
        </w:r>
      </w:hyperlink>
      <w:r w:rsidRPr="005606A6">
        <w:rPr>
          <w:rFonts w:ascii="Raleway" w:eastAsia="Times New Roman" w:hAnsi="Raleway" w:cs="Times New Roman"/>
          <w:color w:val="454253"/>
          <w:sz w:val="26"/>
          <w:szCs w:val="26"/>
          <w:lang w:eastAsia="it-IT"/>
        </w:rPr>
        <w:t>; si tratta, rispettivamente, del limite di 25.000 euro annui per l'utilizzo in compensazione di crediti di imposta e il più generale limite di 2.000.000 di euro annui per le compensazioni da effettuare.</w:t>
      </w:r>
    </w:p>
    <w:p w14:paraId="19B58644" w14:textId="77777777" w:rsidR="005606A6" w:rsidRPr="005606A6" w:rsidRDefault="005606A6" w:rsidP="005606A6">
      <w:pPr>
        <w:shd w:val="clear" w:color="auto" w:fill="FFFFFF"/>
        <w:spacing w:after="300" w:line="240" w:lineRule="auto"/>
        <w:rPr>
          <w:rFonts w:ascii="Raleway" w:eastAsia="Times New Roman" w:hAnsi="Raleway" w:cs="Times New Roman"/>
          <w:color w:val="454253"/>
          <w:sz w:val="26"/>
          <w:szCs w:val="26"/>
          <w:lang w:eastAsia="it-IT"/>
        </w:rPr>
      </w:pPr>
      <w:r w:rsidRPr="005606A6">
        <w:rPr>
          <w:rFonts w:ascii="Raleway" w:eastAsia="Times New Roman" w:hAnsi="Raleway" w:cs="Times New Roman"/>
          <w:color w:val="454253"/>
          <w:sz w:val="26"/>
          <w:szCs w:val="26"/>
          <w:lang w:eastAsia="it-IT"/>
        </w:rPr>
        <w:t>In alternativa all'utilizzo diretto del credito è possibile cederlo a terzi. Sul punto vanno ricordati due aspetti importanti: che il </w:t>
      </w:r>
      <w:r w:rsidRPr="005606A6">
        <w:rPr>
          <w:rFonts w:ascii="Raleway" w:eastAsia="Times New Roman" w:hAnsi="Raleway" w:cs="Times New Roman"/>
          <w:b/>
          <w:bCs/>
          <w:color w:val="454253"/>
          <w:sz w:val="26"/>
          <w:szCs w:val="26"/>
          <w:lang w:eastAsia="it-IT"/>
        </w:rPr>
        <w:t>credito</w:t>
      </w:r>
      <w:r w:rsidRPr="005606A6">
        <w:rPr>
          <w:rFonts w:ascii="Raleway" w:eastAsia="Times New Roman" w:hAnsi="Raleway" w:cs="Times New Roman"/>
          <w:color w:val="454253"/>
          <w:sz w:val="26"/>
          <w:szCs w:val="26"/>
          <w:lang w:eastAsia="it-IT"/>
        </w:rPr>
        <w:t> va </w:t>
      </w:r>
      <w:r w:rsidRPr="005606A6">
        <w:rPr>
          <w:rFonts w:ascii="Raleway" w:eastAsia="Times New Roman" w:hAnsi="Raleway" w:cs="Times New Roman"/>
          <w:b/>
          <w:bCs/>
          <w:color w:val="454253"/>
          <w:sz w:val="26"/>
          <w:szCs w:val="26"/>
          <w:lang w:eastAsia="it-IT"/>
        </w:rPr>
        <w:t>ceduto per intero</w:t>
      </w:r>
      <w:r w:rsidRPr="005606A6">
        <w:rPr>
          <w:rFonts w:ascii="Raleway" w:eastAsia="Times New Roman" w:hAnsi="Raleway" w:cs="Times New Roman"/>
          <w:color w:val="454253"/>
          <w:sz w:val="26"/>
          <w:szCs w:val="26"/>
          <w:lang w:eastAsia="it-IT"/>
        </w:rPr>
        <w:t xml:space="preserve"> e che la cessione deve risultare da un apposito modello da inviare all'Agenzia delle </w:t>
      </w:r>
      <w:r w:rsidRPr="005606A6">
        <w:rPr>
          <w:rFonts w:ascii="Raleway" w:eastAsia="Times New Roman" w:hAnsi="Raleway" w:cs="Times New Roman"/>
          <w:color w:val="454253"/>
          <w:sz w:val="26"/>
          <w:szCs w:val="26"/>
          <w:lang w:eastAsia="it-IT"/>
        </w:rPr>
        <w:lastRenderedPageBreak/>
        <w:t>Entrate. Per quanto riguarda la cessione, si precisa che la prima è ammessa nei confronti di chiunque; sono poi ammesse due ulteriori cessioni ma solo se effettuate a favore di banche e intermediari finanziari. In caso di cessione del credito di imposta è necessario compilare un apposito modello, messo a disposizione dall'Agenzia delle Entrate, corredato da </w:t>
      </w:r>
      <w:r w:rsidRPr="005606A6">
        <w:rPr>
          <w:rFonts w:ascii="Raleway" w:eastAsia="Times New Roman" w:hAnsi="Raleway" w:cs="Times New Roman"/>
          <w:b/>
          <w:bCs/>
          <w:color w:val="454253"/>
          <w:sz w:val="26"/>
          <w:szCs w:val="26"/>
          <w:lang w:eastAsia="it-IT"/>
        </w:rPr>
        <w:t>visto di conformità</w:t>
      </w:r>
      <w:r w:rsidRPr="005606A6">
        <w:rPr>
          <w:rFonts w:ascii="Raleway" w:eastAsia="Times New Roman" w:hAnsi="Raleway" w:cs="Times New Roman"/>
          <w:color w:val="454253"/>
          <w:sz w:val="26"/>
          <w:szCs w:val="26"/>
          <w:lang w:eastAsia="it-IT"/>
        </w:rPr>
        <w:t> dei dati relativi alla documentazione che attesta la sussistenza dei presupposti che danno diritto al credito di imposta. Il modello trasmesso può essere annullato entro il quinto giorno lavorativo successivo all'invio della comunicazione stessa. Entro lo stesso termine, può essere inviata una comunicazione interamente sostitutiva della precedente. Decorso questo termine, è possibile ripresentare un modello a condizione che il cessionario abbia provveduto a rifiutare il credito nell'apposita piattaforma cessione crediti.</w:t>
      </w:r>
    </w:p>
    <w:p w14:paraId="63ECA1B0" w14:textId="77777777" w:rsidR="005606A6" w:rsidRPr="005606A6" w:rsidRDefault="005606A6" w:rsidP="005606A6">
      <w:pPr>
        <w:shd w:val="clear" w:color="auto" w:fill="FFFFFF"/>
        <w:spacing w:after="300" w:line="240" w:lineRule="auto"/>
        <w:rPr>
          <w:rFonts w:ascii="Raleway" w:eastAsia="Times New Roman" w:hAnsi="Raleway" w:cs="Times New Roman"/>
          <w:color w:val="454253"/>
          <w:sz w:val="26"/>
          <w:szCs w:val="26"/>
          <w:lang w:eastAsia="it-IT"/>
        </w:rPr>
      </w:pPr>
      <w:r w:rsidRPr="005606A6">
        <w:rPr>
          <w:rFonts w:ascii="Raleway" w:eastAsia="Times New Roman" w:hAnsi="Raleway" w:cs="Times New Roman"/>
          <w:b/>
          <w:bCs/>
          <w:color w:val="454253"/>
          <w:sz w:val="26"/>
          <w:szCs w:val="26"/>
          <w:lang w:eastAsia="it-IT"/>
        </w:rPr>
        <w:t>Il soggetto che acquista il credito deve utilizzarlo</w:t>
      </w:r>
      <w:r w:rsidRPr="005606A6">
        <w:rPr>
          <w:rFonts w:ascii="Raleway" w:eastAsia="Times New Roman" w:hAnsi="Raleway" w:cs="Times New Roman"/>
          <w:color w:val="454253"/>
          <w:sz w:val="26"/>
          <w:szCs w:val="26"/>
          <w:lang w:eastAsia="it-IT"/>
        </w:rPr>
        <w:t> con le stesse regole con cui lo avrebbe utilizzato il cedente, quindi in compensazione orizzontale </w:t>
      </w:r>
      <w:r w:rsidRPr="005606A6">
        <w:rPr>
          <w:rFonts w:ascii="Raleway" w:eastAsia="Times New Roman" w:hAnsi="Raleway" w:cs="Times New Roman"/>
          <w:b/>
          <w:bCs/>
          <w:color w:val="454253"/>
          <w:sz w:val="26"/>
          <w:szCs w:val="26"/>
          <w:lang w:eastAsia="it-IT"/>
        </w:rPr>
        <w:t>entro il 31 dicembre 2023</w:t>
      </w:r>
      <w:r w:rsidRPr="005606A6">
        <w:rPr>
          <w:rFonts w:ascii="Raleway" w:eastAsia="Times New Roman" w:hAnsi="Raleway" w:cs="Times New Roman"/>
          <w:color w:val="454253"/>
          <w:sz w:val="26"/>
          <w:szCs w:val="26"/>
          <w:lang w:eastAsia="it-IT"/>
        </w:rPr>
        <w:t>.</w:t>
      </w:r>
    </w:p>
    <w:p w14:paraId="0803C59E" w14:textId="77777777" w:rsidR="005606A6" w:rsidRPr="005606A6" w:rsidRDefault="005606A6" w:rsidP="005606A6">
      <w:pPr>
        <w:shd w:val="clear" w:color="auto" w:fill="FFFFFF"/>
        <w:spacing w:after="300" w:line="240" w:lineRule="auto"/>
        <w:rPr>
          <w:rFonts w:ascii="Raleway" w:eastAsia="Times New Roman" w:hAnsi="Raleway" w:cs="Times New Roman"/>
          <w:color w:val="454253"/>
          <w:sz w:val="26"/>
          <w:szCs w:val="26"/>
          <w:lang w:eastAsia="it-IT"/>
        </w:rPr>
      </w:pPr>
      <w:r w:rsidRPr="005606A6">
        <w:rPr>
          <w:rFonts w:ascii="Raleway" w:eastAsia="Times New Roman" w:hAnsi="Raleway" w:cs="Times New Roman"/>
          <w:color w:val="454253"/>
          <w:sz w:val="26"/>
          <w:szCs w:val="26"/>
          <w:lang w:eastAsia="it-IT"/>
        </w:rPr>
        <w:t>Se la norma sarà così confermata nel testo definitivo della Legge di Bilancio, sarà certamente prevista l'emanazione di un apposito provvedimento da parte dell'Agenzia delle Entrate con le indicazioni per la cessione e del codice tributo.</w:t>
      </w:r>
    </w:p>
    <w:p w14:paraId="13C0E85C" w14:textId="77777777" w:rsidR="005606A6" w:rsidRPr="005606A6" w:rsidRDefault="005606A6" w:rsidP="005606A6">
      <w:pPr>
        <w:shd w:val="clear" w:color="auto" w:fill="FFFFFF"/>
        <w:spacing w:after="300" w:line="240" w:lineRule="auto"/>
        <w:rPr>
          <w:rFonts w:ascii="Raleway" w:eastAsia="Times New Roman" w:hAnsi="Raleway" w:cs="Times New Roman"/>
          <w:color w:val="454253"/>
          <w:sz w:val="26"/>
          <w:szCs w:val="26"/>
          <w:lang w:eastAsia="it-IT"/>
        </w:rPr>
      </w:pPr>
      <w:r w:rsidRPr="005606A6">
        <w:rPr>
          <w:rFonts w:ascii="Raleway" w:eastAsia="Times New Roman" w:hAnsi="Raleway" w:cs="Times New Roman"/>
          <w:color w:val="454253"/>
          <w:sz w:val="26"/>
          <w:szCs w:val="26"/>
          <w:lang w:eastAsia="it-IT"/>
        </w:rPr>
        <w:t>Si ricorda, infine, che il credito di imposta non concorre alla formazione della base imponibile ai fini del reddito, né ai fini Irap e che è cumulabile con altre agevolazioni che abbiano ad oggetto i medesimi costi a condizione che tale cumulo, tenuto conto anche del fatto che il credito non è tassato, non porti al superamento del costo sostenuto.</w:t>
      </w:r>
    </w:p>
    <w:p w14:paraId="6A9EE078" w14:textId="77777777" w:rsidR="005606A6" w:rsidRPr="005606A6" w:rsidRDefault="005606A6" w:rsidP="005606A6">
      <w:pPr>
        <w:shd w:val="clear" w:color="auto" w:fill="FFFFFF"/>
        <w:spacing w:after="300" w:line="240" w:lineRule="auto"/>
        <w:rPr>
          <w:rFonts w:ascii="Raleway" w:eastAsia="Times New Roman" w:hAnsi="Raleway" w:cs="Times New Roman"/>
          <w:color w:val="454253"/>
          <w:sz w:val="26"/>
          <w:szCs w:val="26"/>
          <w:lang w:eastAsia="it-IT"/>
        </w:rPr>
      </w:pPr>
      <w:r w:rsidRPr="005606A6">
        <w:rPr>
          <w:rFonts w:ascii="Raleway" w:eastAsia="Times New Roman" w:hAnsi="Raleway" w:cs="Times New Roman"/>
          <w:color w:val="454253"/>
          <w:sz w:val="26"/>
          <w:szCs w:val="26"/>
          <w:lang w:eastAsia="it-IT"/>
        </w:rPr>
        <w:t>© Copyright - Tutti i diritti riservati - Giuffrè Francis Lefebvre S.p.A.</w:t>
      </w:r>
    </w:p>
    <w:p w14:paraId="1A925DC3" w14:textId="77777777" w:rsidR="00C201A9" w:rsidRDefault="00C201A9"/>
    <w:sectPr w:rsidR="00C201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6B5A"/>
    <w:multiLevelType w:val="multilevel"/>
    <w:tmpl w:val="6402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70F"/>
    <w:multiLevelType w:val="multilevel"/>
    <w:tmpl w:val="54EA2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327532">
    <w:abstractNumId w:val="1"/>
  </w:num>
  <w:num w:numId="2" w16cid:durableId="114708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A6"/>
    <w:rsid w:val="005606A6"/>
    <w:rsid w:val="00C201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BD67"/>
  <w15:chartTrackingRefBased/>
  <w15:docId w15:val="{8794CDEA-8DD2-412D-8F60-FDB5EF63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5606A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6">
    <w:name w:val="heading 6"/>
    <w:basedOn w:val="Normale"/>
    <w:link w:val="Titolo6Carattere"/>
    <w:uiPriority w:val="9"/>
    <w:qFormat/>
    <w:rsid w:val="005606A6"/>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606A6"/>
    <w:rPr>
      <w:rFonts w:ascii="Times New Roman" w:eastAsia="Times New Roman" w:hAnsi="Times New Roman" w:cs="Times New Roman"/>
      <w:b/>
      <w:bCs/>
      <w:sz w:val="36"/>
      <w:szCs w:val="36"/>
      <w:lang w:eastAsia="it-IT"/>
    </w:rPr>
  </w:style>
  <w:style w:type="character" w:customStyle="1" w:styleId="Titolo6Carattere">
    <w:name w:val="Titolo 6 Carattere"/>
    <w:basedOn w:val="Carpredefinitoparagrafo"/>
    <w:link w:val="Titolo6"/>
    <w:uiPriority w:val="9"/>
    <w:rsid w:val="005606A6"/>
    <w:rPr>
      <w:rFonts w:ascii="Times New Roman" w:eastAsia="Times New Roman" w:hAnsi="Times New Roman" w:cs="Times New Roman"/>
      <w:b/>
      <w:bCs/>
      <w:sz w:val="15"/>
      <w:szCs w:val="15"/>
      <w:lang w:eastAsia="it-IT"/>
    </w:rPr>
  </w:style>
  <w:style w:type="paragraph" w:styleId="NormaleWeb">
    <w:name w:val="Normal (Web)"/>
    <w:basedOn w:val="Normale"/>
    <w:uiPriority w:val="99"/>
    <w:semiHidden/>
    <w:unhideWhenUsed/>
    <w:rsid w:val="005606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606A6"/>
    <w:rPr>
      <w:color w:val="0000FF"/>
      <w:u w:val="single"/>
    </w:rPr>
  </w:style>
  <w:style w:type="paragraph" w:customStyle="1" w:styleId="social-share">
    <w:name w:val="social-share"/>
    <w:basedOn w:val="Normale"/>
    <w:rsid w:val="005606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st-inline-item">
    <w:name w:val="list-inline-item"/>
    <w:basedOn w:val="Normale"/>
    <w:rsid w:val="005606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606A6"/>
    <w:rPr>
      <w:b/>
      <w:bCs/>
    </w:rPr>
  </w:style>
  <w:style w:type="paragraph" w:customStyle="1" w:styleId="c">
    <w:name w:val="c"/>
    <w:basedOn w:val="Normale"/>
    <w:rsid w:val="005606A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607038">
      <w:bodyDiv w:val="1"/>
      <w:marLeft w:val="0"/>
      <w:marRight w:val="0"/>
      <w:marTop w:val="0"/>
      <w:marBottom w:val="0"/>
      <w:divBdr>
        <w:top w:val="none" w:sz="0" w:space="0" w:color="auto"/>
        <w:left w:val="none" w:sz="0" w:space="0" w:color="auto"/>
        <w:bottom w:val="none" w:sz="0" w:space="0" w:color="auto"/>
        <w:right w:val="none" w:sz="0" w:space="0" w:color="auto"/>
      </w:divBdr>
      <w:divsChild>
        <w:div w:id="754937522">
          <w:marLeft w:val="0"/>
          <w:marRight w:val="0"/>
          <w:marTop w:val="0"/>
          <w:marBottom w:val="0"/>
          <w:divBdr>
            <w:top w:val="none" w:sz="0" w:space="0" w:color="auto"/>
            <w:left w:val="none" w:sz="0" w:space="0" w:color="auto"/>
            <w:bottom w:val="none" w:sz="0" w:space="0" w:color="auto"/>
            <w:right w:val="none" w:sz="0" w:space="0" w:color="auto"/>
          </w:divBdr>
          <w:divsChild>
            <w:div w:id="135874875">
              <w:marLeft w:val="0"/>
              <w:marRight w:val="0"/>
              <w:marTop w:val="0"/>
              <w:marBottom w:val="0"/>
              <w:divBdr>
                <w:top w:val="none" w:sz="0" w:space="0" w:color="auto"/>
                <w:left w:val="none" w:sz="0" w:space="0" w:color="auto"/>
                <w:bottom w:val="none" w:sz="0" w:space="0" w:color="auto"/>
                <w:right w:val="none" w:sz="0" w:space="0" w:color="auto"/>
              </w:divBdr>
              <w:divsChild>
                <w:div w:id="890337389">
                  <w:marLeft w:val="0"/>
                  <w:marRight w:val="0"/>
                  <w:marTop w:val="0"/>
                  <w:marBottom w:val="0"/>
                  <w:divBdr>
                    <w:top w:val="none" w:sz="0" w:space="0" w:color="auto"/>
                    <w:left w:val="none" w:sz="0" w:space="0" w:color="auto"/>
                    <w:bottom w:val="none" w:sz="0" w:space="0" w:color="auto"/>
                    <w:right w:val="none" w:sz="0" w:space="0" w:color="auto"/>
                  </w:divBdr>
                  <w:divsChild>
                    <w:div w:id="658730222">
                      <w:marLeft w:val="0"/>
                      <w:marRight w:val="0"/>
                      <w:marTop w:val="0"/>
                      <w:marBottom w:val="150"/>
                      <w:divBdr>
                        <w:top w:val="none" w:sz="0" w:space="0" w:color="auto"/>
                        <w:left w:val="none" w:sz="0" w:space="0" w:color="auto"/>
                        <w:bottom w:val="none" w:sz="0" w:space="0" w:color="auto"/>
                        <w:right w:val="none" w:sz="0" w:space="0" w:color="auto"/>
                      </w:divBdr>
                    </w:div>
                    <w:div w:id="350957089">
                      <w:marLeft w:val="0"/>
                      <w:marRight w:val="0"/>
                      <w:marTop w:val="0"/>
                      <w:marBottom w:val="0"/>
                      <w:divBdr>
                        <w:top w:val="none" w:sz="0" w:space="0" w:color="auto"/>
                        <w:left w:val="none" w:sz="0" w:space="0" w:color="auto"/>
                        <w:bottom w:val="none" w:sz="0" w:space="0" w:color="auto"/>
                        <w:right w:val="none" w:sz="0" w:space="0" w:color="auto"/>
                      </w:divBdr>
                    </w:div>
                    <w:div w:id="458453528">
                      <w:marLeft w:val="-225"/>
                      <w:marRight w:val="-225"/>
                      <w:marTop w:val="255"/>
                      <w:marBottom w:val="0"/>
                      <w:divBdr>
                        <w:top w:val="none" w:sz="0" w:space="0" w:color="auto"/>
                        <w:left w:val="none" w:sz="0" w:space="0" w:color="auto"/>
                        <w:bottom w:val="none" w:sz="0" w:space="0" w:color="auto"/>
                        <w:right w:val="none" w:sz="0" w:space="0" w:color="auto"/>
                      </w:divBdr>
                      <w:divsChild>
                        <w:div w:id="7560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516">
              <w:marLeft w:val="0"/>
              <w:marRight w:val="0"/>
              <w:marTop w:val="0"/>
              <w:marBottom w:val="0"/>
              <w:divBdr>
                <w:top w:val="none" w:sz="0" w:space="0" w:color="auto"/>
                <w:left w:val="none" w:sz="0" w:space="0" w:color="auto"/>
                <w:bottom w:val="none" w:sz="0" w:space="0" w:color="auto"/>
                <w:right w:val="none" w:sz="0" w:space="0" w:color="auto"/>
              </w:divBdr>
            </w:div>
          </w:divsChild>
        </w:div>
        <w:div w:id="1624074798">
          <w:marLeft w:val="0"/>
          <w:marRight w:val="0"/>
          <w:marTop w:val="0"/>
          <w:marBottom w:val="0"/>
          <w:divBdr>
            <w:top w:val="none" w:sz="0" w:space="0" w:color="auto"/>
            <w:left w:val="none" w:sz="0" w:space="0" w:color="auto"/>
            <w:bottom w:val="none" w:sz="0" w:space="0" w:color="auto"/>
            <w:right w:val="none" w:sz="0" w:space="0" w:color="auto"/>
          </w:divBdr>
        </w:div>
        <w:div w:id="714699123">
          <w:marLeft w:val="-225"/>
          <w:marRight w:val="-225"/>
          <w:marTop w:val="0"/>
          <w:marBottom w:val="0"/>
          <w:divBdr>
            <w:top w:val="none" w:sz="0" w:space="0" w:color="auto"/>
            <w:left w:val="none" w:sz="0" w:space="0" w:color="auto"/>
            <w:bottom w:val="none" w:sz="0" w:space="0" w:color="auto"/>
            <w:right w:val="none" w:sz="0" w:space="0" w:color="auto"/>
          </w:divBdr>
          <w:divsChild>
            <w:div w:id="1234462735">
              <w:marLeft w:val="0"/>
              <w:marRight w:val="0"/>
              <w:marTop w:val="0"/>
              <w:marBottom w:val="0"/>
              <w:divBdr>
                <w:top w:val="none" w:sz="0" w:space="0" w:color="auto"/>
                <w:left w:val="none" w:sz="0" w:space="0" w:color="auto"/>
                <w:bottom w:val="none" w:sz="0" w:space="0" w:color="auto"/>
                <w:right w:val="none" w:sz="0" w:space="0" w:color="auto"/>
              </w:divBdr>
              <w:divsChild>
                <w:div w:id="1849099739">
                  <w:marLeft w:val="0"/>
                  <w:marRight w:val="0"/>
                  <w:marTop w:val="0"/>
                  <w:marBottom w:val="0"/>
                  <w:divBdr>
                    <w:top w:val="none" w:sz="0" w:space="0" w:color="auto"/>
                    <w:left w:val="none" w:sz="0" w:space="0" w:color="auto"/>
                    <w:bottom w:val="none" w:sz="0" w:space="0" w:color="auto"/>
                    <w:right w:val="none" w:sz="0" w:space="0" w:color="auto"/>
                  </w:divBdr>
                </w:div>
                <w:div w:id="1203207909">
                  <w:marLeft w:val="0"/>
                  <w:marRight w:val="0"/>
                  <w:marTop w:val="375"/>
                  <w:marBottom w:val="0"/>
                  <w:divBdr>
                    <w:top w:val="none" w:sz="0" w:space="0" w:color="auto"/>
                    <w:left w:val="none" w:sz="0" w:space="0" w:color="auto"/>
                    <w:bottom w:val="none" w:sz="0" w:space="0" w:color="auto"/>
                    <w:right w:val="none" w:sz="0" w:space="0" w:color="auto"/>
                  </w:divBdr>
                  <w:divsChild>
                    <w:div w:id="363754248">
                      <w:marLeft w:val="0"/>
                      <w:marRight w:val="0"/>
                      <w:marTop w:val="0"/>
                      <w:marBottom w:val="0"/>
                      <w:divBdr>
                        <w:top w:val="none" w:sz="0" w:space="0" w:color="auto"/>
                        <w:left w:val="none" w:sz="0" w:space="0" w:color="auto"/>
                        <w:bottom w:val="none" w:sz="0" w:space="0" w:color="auto"/>
                        <w:right w:val="none" w:sz="0" w:space="0" w:color="auto"/>
                      </w:divBdr>
                      <w:divsChild>
                        <w:div w:id="10841656">
                          <w:marLeft w:val="0"/>
                          <w:marRight w:val="0"/>
                          <w:marTop w:val="0"/>
                          <w:marBottom w:val="0"/>
                          <w:divBdr>
                            <w:top w:val="none" w:sz="0" w:space="0" w:color="auto"/>
                            <w:left w:val="none" w:sz="0" w:space="0" w:color="auto"/>
                            <w:bottom w:val="none" w:sz="0" w:space="0" w:color="auto"/>
                            <w:right w:val="none" w:sz="0" w:space="0" w:color="auto"/>
                          </w:divBdr>
                          <w:divsChild>
                            <w:div w:id="7126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tidianopiu.it/dettaglio/10213672/DL______20220923000000000000144A0002S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otidianopiu.it/dettaglio/10213672/DL______20220809000000000000115A0007S00" TargetMode="External"/><Relationship Id="rId12" Type="http://schemas.openxmlformats.org/officeDocument/2006/relationships/hyperlink" Target="https://www.quotidianopiu.it/dettaglio/10213672/L_______20001223000000000000388A0034S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otidianopiu.it/dettaglio/10213672/DL______20220517000000000000050A0003S02" TargetMode="External"/><Relationship Id="rId11" Type="http://schemas.openxmlformats.org/officeDocument/2006/relationships/hyperlink" Target="https://www.quotidianopiu.it/dettaglio/10213672/L_______20071224000000000000244A0001S00" TargetMode="External"/><Relationship Id="rId5" Type="http://schemas.openxmlformats.org/officeDocument/2006/relationships/hyperlink" Target="https://www.quotidianopiu.it/dettaglio/10213672/DL______20220321000000000000021A0018S00" TargetMode="External"/><Relationship Id="rId10" Type="http://schemas.openxmlformats.org/officeDocument/2006/relationships/hyperlink" Target="https://www.quotidianopiu.it/dettaglio/10213672/DL______20220923000000000000144" TargetMode="External"/><Relationship Id="rId4" Type="http://schemas.openxmlformats.org/officeDocument/2006/relationships/webSettings" Target="webSettings.xml"/><Relationship Id="rId9" Type="http://schemas.openxmlformats.org/officeDocument/2006/relationships/hyperlink" Target="https://www.quotidianopiu.it/dettaglio/10213672/CCX_____19420316000000000000262A2135S0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Carrara</dc:creator>
  <cp:keywords/>
  <dc:description/>
  <cp:lastModifiedBy>Marcello Carrara</cp:lastModifiedBy>
  <cp:revision>1</cp:revision>
  <dcterms:created xsi:type="dcterms:W3CDTF">2022-12-13T06:42:00Z</dcterms:created>
  <dcterms:modified xsi:type="dcterms:W3CDTF">2022-12-13T06:43:00Z</dcterms:modified>
</cp:coreProperties>
</file>